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670"/>
              <w:jc w:val="center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УТВЕРЖДЕНО</w:t>
            </w:r>
            <w:r/>
          </w:p>
          <w:p>
            <w:pPr>
              <w:ind w:left="-39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Советом Тульского областного гарантийного фонда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 изменениями, утвержденными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решением Совета Тульского областного                                                             гарантийного фонда от 12.12.2022,                                 протокол №24)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Регламент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поручительств 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кредитным договорам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договорам о предоставлении банковской гарантии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 использованием механизма гарантийной поддержки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андеррайтинга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Общие положения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</w:t>
      </w:r>
      <w:r>
        <w:rPr>
          <w:rFonts w:ascii="Times New Roman" w:hAnsi="Times New Roman"/>
          <w:sz w:val="24"/>
          <w:szCs w:val="24"/>
          <w:lang w:eastAsia="ru-RU"/>
        </w:rPr>
        <w:t xml:space="preserve"> Настоящий Регламент определяет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 и порядок предоставления поручительств Тульским областным гарантийным фондом по обязательствам субъектов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основанных на кредитных договорах, договорах о предоставлении банковской гарантии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использованием механизма гарантийной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Регламент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</w:t>
      </w:r>
      <w:r>
        <w:rPr>
          <w:rFonts w:ascii="Times New Roman" w:hAnsi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 составлен с целью сохранения в Фонде баланса между увеличением охвата получателей кредитно-гарантийной поддержки и минимизации кредитных рисков в Фонде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 разработан в соответствии с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РФ от 15.04.2014 № 316 «Об утверждении государственной программы Российской Федерации «Экономическое развитие и инновационная экономика»,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Министерства экономического развития Российской Федерации от 28.11.2016 № 763 «Об утверждении требований к фондам содействия кредитованию (гарантийным фондам, фондам поручительств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и их деятельности»,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приказ</w:t>
      </w:r>
      <w:r>
        <w:rPr>
          <w:rFonts w:ascii="Times New Roman" w:hAnsi="Times New Roman" w:eastAsiaTheme="minorHAnsi"/>
          <w:sz w:val="24"/>
          <w:szCs w:val="24"/>
        </w:rPr>
        <w:t xml:space="preserve">ом 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Минэкономразвития России от 26.03.2021 № 142 «Об утверждении</w:t>
      </w:r>
      <w:r>
        <w:rPr>
          <w:rFonts w:ascii="Times New Roman" w:hAnsi="Times New Roman" w:eastAsiaTheme="minorHAnsi"/>
          <w:sz w:val="24"/>
          <w:szCs w:val="24"/>
        </w:rPr>
        <w:t xml:space="preserve"> тре</w:t>
      </w:r>
      <w:r>
        <w:rPr>
          <w:rFonts w:ascii="Times New Roman" w:hAnsi="Times New Roman" w:eastAsiaTheme="minorHAnsi"/>
          <w:sz w:val="24"/>
          <w:szCs w:val="24"/>
        </w:rPr>
        <w:t xml:space="preserve">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</w:t>
      </w:r>
      <w:r>
        <w:rPr>
          <w:rFonts w:ascii="Times New Roman" w:hAnsi="Times New Roman" w:eastAsiaTheme="minorHAnsi"/>
          <w:sz w:val="24"/>
          <w:szCs w:val="24"/>
        </w:rPr>
        <w:t xml:space="preserve">«</w:t>
      </w:r>
      <w:r>
        <w:rPr>
          <w:rFonts w:ascii="Times New Roman" w:hAnsi="Times New Roman" w:eastAsiaTheme="minorHAnsi"/>
          <w:sz w:val="24"/>
          <w:szCs w:val="24"/>
        </w:rPr>
        <w:t xml:space="preserve">Налог на профессиональный доход</w:t>
      </w:r>
      <w:r>
        <w:rPr>
          <w:rFonts w:ascii="Times New Roman" w:hAnsi="Times New Roman" w:eastAsiaTheme="minorHAnsi"/>
          <w:sz w:val="24"/>
          <w:szCs w:val="24"/>
        </w:rPr>
        <w:t xml:space="preserve">»</w:t>
      </w:r>
      <w:r>
        <w:rPr>
          <w:rFonts w:ascii="Times New Roman" w:hAnsi="Times New Roman" w:eastAsiaTheme="minorHAnsi"/>
          <w:sz w:val="24"/>
          <w:szCs w:val="24"/>
        </w:rPr>
        <w:t xml:space="preserve">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</w:t>
      </w:r>
      <w:r>
        <w:rPr>
          <w:rFonts w:ascii="Times New Roman" w:hAnsi="Times New Roman" w:eastAsiaTheme="minorHAnsi"/>
          <w:sz w:val="24"/>
          <w:szCs w:val="24"/>
        </w:rPr>
        <w:t xml:space="preserve"> результатов федеральных проектов, входящих в состав национального проекта </w:t>
      </w:r>
      <w:r>
        <w:rPr>
          <w:rFonts w:ascii="Times New Roman" w:hAnsi="Times New Roman" w:eastAsiaTheme="minorHAnsi"/>
          <w:sz w:val="24"/>
          <w:szCs w:val="24"/>
        </w:rPr>
        <w:t xml:space="preserve">«</w:t>
      </w:r>
      <w:r>
        <w:rPr>
          <w:rFonts w:ascii="Times New Roman" w:hAnsi="Times New Roman" w:eastAsiaTheme="minorHAnsi"/>
          <w:sz w:val="24"/>
          <w:szCs w:val="24"/>
        </w:rPr>
        <w:t xml:space="preserve"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eastAsiaTheme="minorHAnsi"/>
          <w:sz w:val="24"/>
          <w:szCs w:val="24"/>
        </w:rPr>
        <w:t xml:space="preserve">»</w:t>
      </w:r>
      <w:r>
        <w:rPr>
          <w:rFonts w:ascii="Times New Roman" w:hAnsi="Times New Roman" w:eastAsiaTheme="minorHAnsi"/>
          <w:sz w:val="24"/>
          <w:szCs w:val="24"/>
        </w:rPr>
        <w:t xml:space="preserve">, и требований к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Theme="minorHAnsi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в том числе с последующими изменениями и дополнениями, а также с другими нормативными актами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</w:t>
      </w:r>
      <w:r>
        <w:rPr>
          <w:rFonts w:ascii="Times New Roman" w:hAnsi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/>
          <w:sz w:val="24"/>
          <w:szCs w:val="24"/>
          <w:lang w:eastAsia="ru-RU"/>
        </w:rPr>
        <w:t xml:space="preserve"> областн</w:t>
      </w:r>
      <w:r>
        <w:rPr>
          <w:rFonts w:ascii="Times New Roman" w:hAnsi="Times New Roman"/>
          <w:sz w:val="24"/>
          <w:szCs w:val="24"/>
          <w:lang w:eastAsia="ru-RU"/>
        </w:rPr>
        <w:t xml:space="preserve">ой</w:t>
      </w:r>
      <w:r>
        <w:rPr>
          <w:rFonts w:ascii="Times New Roman" w:hAnsi="Times New Roman"/>
          <w:sz w:val="24"/>
          <w:szCs w:val="24"/>
          <w:lang w:eastAsia="ru-RU"/>
        </w:rPr>
        <w:t xml:space="preserve"> гарантийны</w:t>
      </w:r>
      <w:r>
        <w:rPr>
          <w:rFonts w:ascii="Times New Roman" w:hAnsi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 путем присоединения в порядке, предусмотренном статьей 428 Гражданского кодекса Российской Федерации для договоров присоединения,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принял на себя все обязательства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соблюдени</w:t>
      </w:r>
      <w:r>
        <w:rPr>
          <w:rFonts w:ascii="Times New Roman" w:hAnsi="Times New Roman"/>
          <w:sz w:val="24"/>
          <w:szCs w:val="24"/>
          <w:lang w:eastAsia="ru-RU"/>
        </w:rPr>
        <w:t xml:space="preserve">ю </w:t>
      </w:r>
      <w:r>
        <w:rPr>
          <w:rFonts w:ascii="Times New Roman" w:hAnsi="Times New Roman"/>
          <w:sz w:val="24"/>
          <w:szCs w:val="24"/>
          <w:lang w:eastAsia="ru-RU"/>
        </w:rPr>
        <w:t xml:space="preserve">всех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положений,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Правилами взаимодействия региональных гарантийных организаций с </w:t>
      </w:r>
      <w:r>
        <w:rPr>
          <w:rFonts w:ascii="Times New Roman" w:hAnsi="Times New Roman"/>
          <w:sz w:val="24"/>
          <w:szCs w:val="24"/>
        </w:rPr>
        <w:t xml:space="preserve">акционерным обществом «Федеральная корпорация по развитию малого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среднего предпринимательства» при внедрении механизма гарантийной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поддержки без </w:t>
      </w:r>
      <w:r>
        <w:rPr>
          <w:rFonts w:ascii="Times New Roman" w:hAnsi="Times New Roman"/>
          <w:sz w:val="24"/>
          <w:szCs w:val="24"/>
        </w:rPr>
        <w:t xml:space="preserve">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», утвержден</w:t>
      </w:r>
      <w:r>
        <w:rPr>
          <w:rFonts w:ascii="Times New Roman" w:hAnsi="Times New Roman"/>
          <w:sz w:val="24"/>
          <w:szCs w:val="24"/>
        </w:rPr>
        <w:t xml:space="preserve">ными Решением Правления Корпора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30 декабря 2019г.,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том числе с последующими изменениями и дополнениями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В настоящем Регламенте используются следующие понятия: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Фонд - </w:t>
      </w:r>
      <w:r>
        <w:rPr>
          <w:rFonts w:ascii="Times New Roman" w:hAnsi="Times New Roman"/>
          <w:sz w:val="24"/>
          <w:szCs w:val="24"/>
          <w:lang w:eastAsia="ru-RU"/>
        </w:rPr>
        <w:t xml:space="preserve">Тульский областной гарантийный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Субъект малого и среднего предпринимательства, субъект МСП</w:t>
      </w:r>
      <w: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потребительский кооператив, коммерческая организация (за исключением государственных и муниципальных унитарных предприятий), внесенная в Единый государственный реестр юридических лиц, и (или) физическое лицо, внесенное в Единый государственный реес</w:t>
      </w:r>
      <w:r>
        <w:rPr>
          <w:rFonts w:ascii="Times New Roman" w:hAnsi="Times New Roman"/>
          <w:sz w:val="24"/>
          <w:szCs w:val="24"/>
          <w:lang w:eastAsia="ru-RU"/>
        </w:rPr>
        <w:t xml:space="preserve">тр индивидуальных предпринимателей и осуществляющее предпринимательскую деятельность без образования юридического лица, и (или) крестьянское (фермерское) хозяйство, соответствующие требованиям Федерального закона от 24.07.2007 № 209-ФЗ «О развитии малого и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среднего предпринимательства в Российской Федерации».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Совет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- высший коллегиальный орган управления Фонда, в компетенцию которого входит утверждение и изменение настоящего Регламента. 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Поручительство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- оформленный в соответствии с требованиями действующего законодательства Российской Федерации договор поручительства, по которому Фонд обязывается перед </w:t>
      </w:r>
      <w:r>
        <w:rPr>
          <w:rFonts w:ascii="Times New Roman" w:hAnsi="Times New Roman"/>
          <w:sz w:val="24"/>
          <w:szCs w:val="24"/>
          <w:lang w:eastAsia="ru-RU"/>
        </w:rPr>
        <w:t xml:space="preserve">Банком-партнером</w:t>
      </w:r>
      <w:r>
        <w:rPr>
          <w:rFonts w:ascii="Times New Roman" w:hAnsi="Times New Roman"/>
          <w:sz w:val="24"/>
          <w:szCs w:val="24"/>
          <w:lang w:eastAsia="ru-RU"/>
        </w:rPr>
        <w:t xml:space="preserve"> отвечать за исполнение субъектом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МСП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обязат</w:t>
      </w:r>
      <w:r>
        <w:rPr>
          <w:rFonts w:ascii="Times New Roman" w:hAnsi="Times New Roman"/>
          <w:sz w:val="24"/>
          <w:szCs w:val="24"/>
          <w:lang w:eastAsia="ru-RU"/>
        </w:rPr>
        <w:t xml:space="preserve">ельств по кредитному договору, договору о пре</w:t>
      </w:r>
      <w:r>
        <w:rPr>
          <w:rFonts w:ascii="Times New Roman" w:hAnsi="Times New Roman"/>
          <w:sz w:val="24"/>
          <w:szCs w:val="24"/>
          <w:lang w:eastAsia="ru-RU"/>
        </w:rPr>
        <w:t xml:space="preserve">доставлении банковской гарантии</w:t>
      </w:r>
      <w:r>
        <w:rPr>
          <w:rFonts w:ascii="Times New Roman" w:hAnsi="Times New Roman"/>
          <w:sz w:val="24"/>
          <w:szCs w:val="24"/>
          <w:lang w:eastAsia="ru-RU"/>
        </w:rPr>
        <w:t xml:space="preserve"> на условиях, определенных в договоре поручительства.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Андеррайтинг</w:t>
      </w:r>
      <w:r>
        <w:rPr>
          <w:rFonts w:ascii="Times New Roman" w:hAnsi="Times New Roman"/>
          <w:sz w:val="24"/>
          <w:szCs w:val="24"/>
          <w:lang w:eastAsia="ru-RU"/>
        </w:rPr>
        <w:t xml:space="preserve"> – процедура оценки финансового положения субъекта МСП в соответствии с внутренней методикой оценки рисков, утверждаемой Фондом и (или) Банком-партнером.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Механизм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механизм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оручительства Фон</w:t>
      </w:r>
      <w:r>
        <w:rPr>
          <w:rFonts w:ascii="Times New Roman" w:hAnsi="Times New Roman"/>
          <w:sz w:val="24"/>
          <w:szCs w:val="24"/>
          <w:lang w:eastAsia="ru-RU"/>
        </w:rPr>
        <w:t xml:space="preserve">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основе оценки кредитного риска, проведенной Банком-партнером, инициирующим предоставление 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, без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дополнительного анализа кредитоспособности Заемщика (Принципала)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Фондом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Корпорация </w:t>
      </w:r>
      <w: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акционерное общество «Федеральная корпорация по развитию малого и среднего предпринимательства», созданное и действующее в соответствии с Гражданским кодексом Росс</w:t>
      </w:r>
      <w:r>
        <w:rPr>
          <w:rFonts w:ascii="Times New Roman" w:hAnsi="Times New Roman"/>
          <w:sz w:val="24"/>
          <w:szCs w:val="24"/>
          <w:lang w:eastAsia="ru-RU"/>
        </w:rPr>
        <w:t xml:space="preserve">ийской Федерации, федеральными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законами от 26 декабря 1995 г. № 208-ФЗ «Об акционерных обществах», от 24 июля 2007 г. № 209-ФЗ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«О развитии малого и среднего предпринимательства в Российской Федерации» и Указом Президента Российской Федерации от 05 июня 2015 г. № 287 «О мерах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по дальнейшему развитию малого и среднего предпринимательства»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Банк-партнер</w:t>
      </w:r>
      <w:r>
        <w:rPr>
          <w:rFonts w:ascii="Times New Roman" w:hAnsi="Times New Roman"/>
          <w:sz w:val="24"/>
          <w:szCs w:val="24"/>
          <w:lang w:eastAsia="ru-RU"/>
        </w:rPr>
        <w:t xml:space="preserve"> - кредитная организация,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которая на основании выданной ей лицензии имеет право о</w:t>
      </w:r>
      <w:r>
        <w:rPr>
          <w:rFonts w:ascii="Times New Roman" w:hAnsi="Times New Roman"/>
          <w:sz w:val="24"/>
          <w:szCs w:val="24"/>
          <w:lang w:eastAsia="ru-RU"/>
        </w:rPr>
        <w:t xml:space="preserve">существлять банковские операции, осуществляющая финансирование субъектов МСП и заключившая с Корпорацией и Фондом соглашения о сотрудничестве, а также получившая доступ к Механизму в порядке и на условиях, установленных нормативными документами Корпорации.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Соответствие кредитной организации требованиям </w:t>
      </w:r>
      <w:r>
        <w:rPr>
          <w:rFonts w:ascii="Times New Roman" w:hAnsi="Times New Roman"/>
          <w:sz w:val="24"/>
          <w:szCs w:val="24"/>
          <w:lang w:eastAsia="ru-RU"/>
        </w:rPr>
        <w:t xml:space="preserve">Корпорации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к кредитному процессу и рейтинговым моделям, используемым финансовыми организациями в целях определения кредитного качества заемщика и вероятности дефолта по его обязательствам, является основанием допуска </w:t>
      </w:r>
      <w:r>
        <w:rPr>
          <w:rFonts w:ascii="Times New Roman" w:hAnsi="Times New Roman"/>
          <w:sz w:val="24"/>
          <w:szCs w:val="24"/>
          <w:lang w:eastAsia="ru-RU"/>
        </w:rPr>
        <w:t xml:space="preserve">кредитной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организации к взаимодействию с участниками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Национальной гарантийной системы (</w:t>
      </w:r>
      <w:r>
        <w:rPr>
          <w:rFonts w:ascii="Times New Roman" w:hAnsi="Times New Roman"/>
          <w:sz w:val="24"/>
          <w:szCs w:val="24"/>
          <w:lang w:eastAsia="ru-RU"/>
        </w:rPr>
        <w:t xml:space="preserve">НГС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кредитно</w:t>
      </w:r>
      <w:r>
        <w:rPr>
          <w:rFonts w:ascii="Times New Roman" w:hAnsi="Times New Roman"/>
          <w:sz w:val="24"/>
          <w:szCs w:val="24"/>
          <w:lang w:eastAsia="ru-RU"/>
        </w:rPr>
        <w:t xml:space="preserve">-гарантийной поддержки субъектов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МСП</w:t>
      </w:r>
      <w:r>
        <w:rPr>
          <w:rFonts w:ascii="Times New Roman" w:hAnsi="Times New Roman"/>
          <w:sz w:val="24"/>
          <w:szCs w:val="24"/>
          <w:lang w:eastAsia="ru-RU"/>
        </w:rPr>
        <w:t xml:space="preserve">, относящихся к сегменту с повышенным уровнем риска.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Заемщик (Принципал)</w:t>
      </w:r>
      <w: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 МСП, заключивший или намеревающийся заключить Кредитный договор или Договор о предоставлении гарантии с Банком-партнером.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Кредитный договор</w:t>
      </w:r>
      <w: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между Банком-партнером и Заемщиком, на основании которого Заемщику предоставляются денежные средства на условиях срочности, платности и возвратности.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о предоставлении гарантии </w:t>
      </w:r>
      <w: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договор, в соответствии с которым Банк-партнер обязуется предоставить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Принципалу</w:t>
      </w:r>
      <w:r>
        <w:rPr>
          <w:rFonts w:ascii="Times New Roman" w:hAnsi="Times New Roman"/>
          <w:sz w:val="24"/>
          <w:szCs w:val="24"/>
          <w:lang w:eastAsia="ru-RU"/>
        </w:rPr>
        <w:t xml:space="preserve"> банковскую гарантию.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Лимит условных обязательств </w:t>
      </w:r>
      <w:r>
        <w:rPr>
          <w:rFonts w:ascii="Times New Roman" w:hAnsi="Times New Roman"/>
          <w:b/>
          <w:sz w:val="24"/>
          <w:szCs w:val="24"/>
        </w:rPr>
        <w:t xml:space="preserve"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Банк-партнер</w:t>
      </w:r>
      <w:r>
        <w:rPr>
          <w:rFonts w:ascii="Times New Roman" w:hAnsi="Times New Roman"/>
          <w:b/>
          <w:sz w:val="24"/>
          <w:szCs w:val="24"/>
        </w:rPr>
        <w:t xml:space="preserve"> в рамках Механизма</w:t>
      </w:r>
      <w:r>
        <w:rPr>
          <w:rFonts w:ascii="Times New Roman" w:hAnsi="Times New Roman"/>
          <w:sz w:val="24"/>
          <w:szCs w:val="24"/>
        </w:rPr>
        <w:t xml:space="preserve"> – максимальный объем поручительств Фонда перед конкретным Банком-партнером  </w:t>
      </w:r>
      <w:r>
        <w:rPr>
          <w:rFonts w:ascii="Times New Roman" w:hAnsi="Times New Roman"/>
          <w:sz w:val="24"/>
          <w:szCs w:val="24"/>
        </w:rPr>
        <w:t xml:space="preserve">по К</w:t>
      </w:r>
      <w:r>
        <w:rPr>
          <w:rFonts w:ascii="Times New Roman" w:hAnsi="Times New Roman"/>
          <w:sz w:val="24"/>
          <w:szCs w:val="24"/>
        </w:rPr>
        <w:t xml:space="preserve">редитным договорам,</w:t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оговорам о предоставлении гарантии, выданных с использованием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еханизма.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/>
          <w:sz w:val="24"/>
          <w:szCs w:val="24"/>
          <w:lang w:eastAsia="ru-RU"/>
        </w:rPr>
        <w:t xml:space="preserve">– заявка на предоставление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Фонда, направленная в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подписанная </w:t>
      </w:r>
      <w:r>
        <w:rPr>
          <w:rFonts w:ascii="Times New Roman" w:hAnsi="Times New Roman"/>
          <w:sz w:val="24"/>
          <w:szCs w:val="24"/>
        </w:rPr>
        <w:t xml:space="preserve">Банком-партнером </w:t>
      </w:r>
      <w:r>
        <w:rPr>
          <w:rFonts w:ascii="Times New Roman" w:hAnsi="Times New Roman"/>
          <w:sz w:val="24"/>
          <w:szCs w:val="24"/>
        </w:rPr>
        <w:t xml:space="preserve"> и согласованная с Заемщиком</w:t>
      </w:r>
      <w:r>
        <w:rPr>
          <w:rFonts w:ascii="Times New Roman" w:hAnsi="Times New Roman"/>
          <w:sz w:val="24"/>
          <w:szCs w:val="24"/>
        </w:rPr>
        <w:t xml:space="preserve"> (Принципалом)</w:t>
      </w:r>
      <w:r>
        <w:rPr>
          <w:rFonts w:ascii="Times New Roman" w:hAnsi="Times New Roman"/>
          <w:sz w:val="24"/>
          <w:szCs w:val="24"/>
        </w:rPr>
        <w:t xml:space="preserve">, включает в себя весь необходимый Фонду комплект документов согласно регламентируемому </w:t>
      </w:r>
      <w:r>
        <w:rPr>
          <w:rFonts w:ascii="Times New Roman" w:hAnsi="Times New Roman"/>
          <w:sz w:val="24"/>
          <w:szCs w:val="24"/>
        </w:rPr>
        <w:t xml:space="preserve">Фондом </w:t>
      </w:r>
      <w:r>
        <w:rPr>
          <w:rFonts w:ascii="Times New Roman" w:hAnsi="Times New Roman"/>
          <w:sz w:val="24"/>
          <w:szCs w:val="24"/>
        </w:rPr>
        <w:t xml:space="preserve">перечню </w:t>
      </w:r>
      <w:r>
        <w:rPr>
          <w:rFonts w:ascii="Times New Roman" w:hAnsi="Times New Roman"/>
          <w:sz w:val="24"/>
          <w:szCs w:val="24"/>
        </w:rPr>
        <w:t xml:space="preserve">документов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Комиссия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комиссия Тульского областного гарантийного фонда по представлению поручительств по кредитным договорам, договорам займа,  договорам финансовой аренды (лизинга)</w:t>
      </w:r>
      <w:r>
        <w:rPr>
          <w:rFonts w:ascii="Times New Roman" w:hAnsi="Times New Roman"/>
          <w:sz w:val="24"/>
          <w:szCs w:val="24"/>
          <w:lang w:eastAsia="ru-RU"/>
        </w:rPr>
        <w:t xml:space="preserve">, договорам о предоставлении банковской гарантии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иным договорам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Обеспечиваемое обязательство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- обязательство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Субъекта МСП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перед </w:t>
      </w:r>
      <w:r>
        <w:rPr>
          <w:rFonts w:ascii="Times New Roman" w:hAnsi="Times New Roman"/>
          <w:sz w:val="24"/>
          <w:szCs w:val="24"/>
          <w:lang w:eastAsia="ru-RU"/>
        </w:rPr>
        <w:t xml:space="preserve">Банком-партнером</w:t>
      </w:r>
      <w:r>
        <w:rPr>
          <w:rFonts w:ascii="Times New Roman" w:hAnsi="Times New Roman"/>
          <w:sz w:val="24"/>
          <w:szCs w:val="24"/>
          <w:lang w:eastAsia="ru-RU"/>
        </w:rPr>
        <w:t xml:space="preserve"> вер</w:t>
      </w:r>
      <w:r>
        <w:rPr>
          <w:rFonts w:ascii="Times New Roman" w:hAnsi="Times New Roman"/>
          <w:sz w:val="24"/>
          <w:szCs w:val="24"/>
          <w:lang w:eastAsia="ru-RU"/>
        </w:rPr>
        <w:t xml:space="preserve">нуть сумму основного долга  по К</w:t>
      </w:r>
      <w:r>
        <w:rPr>
          <w:rFonts w:ascii="Times New Roman" w:hAnsi="Times New Roman"/>
          <w:sz w:val="24"/>
          <w:szCs w:val="24"/>
          <w:lang w:eastAsia="ru-RU"/>
        </w:rPr>
        <w:t xml:space="preserve">редитному договору, денежную су</w:t>
      </w:r>
      <w:r>
        <w:rPr>
          <w:rFonts w:ascii="Times New Roman" w:hAnsi="Times New Roman"/>
          <w:sz w:val="24"/>
          <w:szCs w:val="24"/>
          <w:lang w:eastAsia="ru-RU"/>
        </w:rPr>
        <w:t xml:space="preserve">мму, подлежащую выплате гаранту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Договору о предоставлении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гарантии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заключенные в целях осуществления предпринимательской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Заемщика (Принципала)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 введения режима повышенной готовности или режима чрезвычайной ситуации в соответствии с Федеральным </w:t>
      </w:r>
      <w:hyperlink r:id="rId10" w:tooltip="consultantplus://offline/ref=3BD4170F91E040F3F43B11677D5C91FE2C6D663696D1BA417B24FA145857BD2EAE1D3CB4AA6C203174F93932B4t0QBN" w:history="1">
        <w:r>
          <w:rPr>
            <w:rFonts w:ascii="Times New Roman" w:hAnsi="Times New Roman"/>
            <w:bCs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 xml:space="preserve"> от 21 декабря 1994 г.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№ 68-ФЗ «О защите населения и территорий от чрезвычайных ситуаций природного и техногенного характера» (далее соответственно - режим повышенной готовности, режим чрезвычайной ситуации), в отношении территории, на которой указанные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субъекты МСП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осуществляют свою деятельность - по обязательствам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субъектов МСП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связанным 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уплатой процентов по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редитным договорам, заключаемым с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Банками-партнерами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в отношении которых ранее поручительства не предоставлялись. Предоставление поручительств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субъектам МСП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 в отношении обязательств по уплате указанных процентов, возникающих в период действия режима повышенной готовности или режима чрезвычайной ситуации.</w:t>
      </w:r>
      <w:r/>
    </w:p>
    <w:p>
      <w:pPr>
        <w:pStyle w:val="67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Вознаграждение</w:t>
      </w:r>
      <w:r>
        <w:rPr>
          <w:rFonts w:ascii="Times New Roman" w:hAnsi="Times New Roman"/>
          <w:sz w:val="24"/>
          <w:szCs w:val="24"/>
        </w:rPr>
        <w:t xml:space="preserve"> – денежная сумма, </w:t>
      </w:r>
      <w:r>
        <w:rPr>
          <w:rFonts w:ascii="Times New Roman" w:hAnsi="Times New Roman"/>
          <w:sz w:val="24"/>
          <w:szCs w:val="24"/>
        </w:rPr>
        <w:t xml:space="preserve">уплачиваемая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субъектом МСП</w:t>
      </w:r>
      <w:r>
        <w:rPr>
          <w:rFonts w:ascii="Times New Roman" w:hAnsi="Times New Roman"/>
          <w:sz w:val="24"/>
          <w:szCs w:val="24"/>
        </w:rPr>
        <w:t xml:space="preserve"> Фонду</w:t>
      </w:r>
      <w:r>
        <w:rPr>
          <w:rFonts w:ascii="Times New Roman" w:hAnsi="Times New Roman"/>
          <w:sz w:val="24"/>
          <w:szCs w:val="24"/>
        </w:rPr>
        <w:t xml:space="preserve"> за предоставление поручительств по </w:t>
      </w:r>
      <w:r>
        <w:rPr>
          <w:rFonts w:ascii="Times New Roman" w:hAnsi="Times New Roman"/>
          <w:sz w:val="24"/>
          <w:szCs w:val="24"/>
        </w:rPr>
        <w:t xml:space="preserve">Кредитным договорам, Д</w:t>
      </w:r>
      <w:r>
        <w:rPr>
          <w:rFonts w:ascii="Times New Roman" w:hAnsi="Times New Roman"/>
          <w:sz w:val="24"/>
          <w:szCs w:val="24"/>
        </w:rPr>
        <w:t xml:space="preserve">оговорам о пре</w:t>
      </w:r>
      <w:r>
        <w:rPr>
          <w:rFonts w:ascii="Times New Roman" w:hAnsi="Times New Roman"/>
          <w:sz w:val="24"/>
          <w:szCs w:val="24"/>
        </w:rPr>
        <w:t xml:space="preserve">доставлении </w:t>
      </w:r>
      <w:r>
        <w:rPr>
          <w:rFonts w:ascii="Times New Roman" w:hAnsi="Times New Roman"/>
          <w:sz w:val="24"/>
          <w:szCs w:val="24"/>
        </w:rPr>
        <w:t xml:space="preserve">гарантии</w:t>
      </w:r>
      <w:r>
        <w:rPr>
          <w:rFonts w:ascii="Times New Roman" w:hAnsi="Times New Roman"/>
          <w:sz w:val="24"/>
          <w:szCs w:val="24"/>
        </w:rPr>
        <w:t xml:space="preserve">. 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Субсидия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денежные средства, безвозмездно предоставленные Фонду из бюджето</w:t>
      </w:r>
      <w:r>
        <w:rPr>
          <w:rFonts w:ascii="Times New Roman" w:hAnsi="Times New Roman"/>
          <w:sz w:val="24"/>
          <w:szCs w:val="24"/>
          <w:lang w:eastAsia="ru-RU"/>
        </w:rPr>
        <w:t xml:space="preserve">в на строго определенные цели (исполнение  обязательств  по поручительствам, предоставленным в целях обеспечения  исполнения  обязательств  субъектов малого и среднего предпринимательства) в рамках проекта «Акселерация субъектов малого и среднего предприни</w:t>
      </w:r>
      <w:r>
        <w:rPr>
          <w:rFonts w:ascii="Times New Roman" w:hAnsi="Times New Roman"/>
          <w:sz w:val="24"/>
          <w:szCs w:val="24"/>
          <w:lang w:eastAsia="ru-RU"/>
        </w:rPr>
        <w:t xml:space="preserve">мательства» государственной программы Российской Федерации «Экономическое развитие и инновационная экономика» согласно постановлению Правительства РФ от 15.04.2014 № 316 «Об утверждении государственной программы Российской Федерации «Экономическое развитие</w:t>
      </w:r>
      <w:r>
        <w:rPr>
          <w:rFonts w:ascii="Times New Roman" w:hAnsi="Times New Roman"/>
          <w:sz w:val="24"/>
          <w:szCs w:val="24"/>
          <w:lang w:eastAsia="ru-RU"/>
        </w:rPr>
        <w:t xml:space="preserve"> и инновационная экономика».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Модель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рейтинговая или </w:t>
      </w:r>
      <w:r>
        <w:rPr>
          <w:rFonts w:ascii="Times New Roman" w:hAnsi="Times New Roman"/>
          <w:sz w:val="24"/>
          <w:szCs w:val="24"/>
        </w:rPr>
        <w:t xml:space="preserve">скоринговая</w:t>
      </w:r>
      <w:r>
        <w:rPr>
          <w:rFonts w:ascii="Times New Roman" w:hAnsi="Times New Roman"/>
          <w:sz w:val="24"/>
          <w:szCs w:val="24"/>
        </w:rPr>
        <w:t xml:space="preserve"> модель, используемая Банком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партнером в кредитном процессе.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Подсегмент</w:t>
      </w:r>
      <w:r>
        <w:t xml:space="preserve"> – </w:t>
      </w:r>
      <w:r>
        <w:rPr>
          <w:rFonts w:ascii="Times New Roman" w:hAnsi="Times New Roman"/>
          <w:sz w:val="24"/>
          <w:szCs w:val="24"/>
        </w:rPr>
        <w:t xml:space="preserve">заявляемая Банком-партнером для реализации через Механизм часть кредитов, предоставляемых для одного из Клиентских сегментов с использованием одной Модели.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Клиентский сегмент</w:t>
      </w:r>
      <w:r>
        <w:rPr>
          <w:rFonts w:ascii="Times New Roman" w:hAnsi="Times New Roman"/>
          <w:sz w:val="24"/>
          <w:szCs w:val="24"/>
        </w:rPr>
        <w:t xml:space="preserve"> – действующие и потенциальные клиенты, характеристики которых соответствуют набору параметров, определенных Банком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партнером в целях предоставления кредитов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Рейтинг </w:t>
      </w:r>
      <w:r>
        <w:rPr>
          <w:rFonts w:ascii="Times New Roman" w:hAnsi="Times New Roman"/>
          <w:sz w:val="24"/>
          <w:szCs w:val="24"/>
        </w:rPr>
        <w:t xml:space="preserve">– полученная Банком-партнером по итогам использования Модели оценка кредитоспособности Заемщика.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Граничные значения рейтингов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 наихудшие значения Рейтингов, для к</w:t>
      </w:r>
      <w:r>
        <w:rPr>
          <w:rFonts w:ascii="Times New Roman" w:hAnsi="Times New Roman"/>
          <w:sz w:val="24"/>
          <w:szCs w:val="24"/>
        </w:rPr>
        <w:t xml:space="preserve">оторых возможно предоставления П</w:t>
      </w:r>
      <w:r>
        <w:rPr>
          <w:rFonts w:ascii="Times New Roman" w:hAnsi="Times New Roman"/>
          <w:sz w:val="24"/>
          <w:szCs w:val="24"/>
        </w:rPr>
        <w:t xml:space="preserve">оручительств </w:t>
      </w:r>
      <w:r>
        <w:rPr>
          <w:rFonts w:ascii="Times New Roman" w:hAnsi="Times New Roman"/>
          <w:sz w:val="24"/>
          <w:szCs w:val="24"/>
        </w:rPr>
        <w:t xml:space="preserve">Фондом </w:t>
      </w:r>
      <w:r>
        <w:rPr>
          <w:rFonts w:ascii="Times New Roman" w:hAnsi="Times New Roman"/>
          <w:sz w:val="24"/>
          <w:szCs w:val="24"/>
        </w:rPr>
        <w:t xml:space="preserve">в рамках Механизма.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Целевая структура рейтингов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</w:t>
      </w:r>
      <w:r>
        <w:rPr>
          <w:rFonts w:ascii="Times New Roman" w:hAnsi="Times New Roman"/>
          <w:sz w:val="24"/>
          <w:szCs w:val="24"/>
        </w:rPr>
        <w:t xml:space="preserve">овие по распределению портфеля П</w:t>
      </w:r>
      <w:r>
        <w:rPr>
          <w:rFonts w:ascii="Times New Roman" w:hAnsi="Times New Roman"/>
          <w:sz w:val="24"/>
          <w:szCs w:val="24"/>
        </w:rPr>
        <w:t xml:space="preserve">оручительств</w:t>
      </w:r>
      <w:r>
        <w:rPr>
          <w:rFonts w:ascii="Times New Roman" w:hAnsi="Times New Roman"/>
          <w:sz w:val="24"/>
          <w:szCs w:val="24"/>
        </w:rPr>
        <w:t xml:space="preserve"> Фонда</w:t>
      </w:r>
      <w:r>
        <w:rPr>
          <w:rFonts w:ascii="Times New Roman" w:hAnsi="Times New Roman"/>
          <w:sz w:val="24"/>
          <w:szCs w:val="24"/>
        </w:rPr>
        <w:t xml:space="preserve">, предоставленных в рамках Механизма, устанавливаемое для</w:t>
      </w:r>
      <w:r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 xml:space="preserve">нкре</w:t>
      </w:r>
      <w:r>
        <w:rPr>
          <w:rFonts w:ascii="Times New Roman" w:hAnsi="Times New Roman"/>
          <w:sz w:val="24"/>
          <w:szCs w:val="24"/>
        </w:rPr>
        <w:t xml:space="preserve">тного</w:t>
      </w:r>
      <w:r>
        <w:rPr>
          <w:rFonts w:ascii="Times New Roman" w:hAnsi="Times New Roman"/>
          <w:sz w:val="24"/>
          <w:szCs w:val="24"/>
        </w:rPr>
        <w:t xml:space="preserve"> Банка-партнера (отдельно по каждому </w:t>
      </w:r>
      <w:r>
        <w:rPr>
          <w:rFonts w:ascii="Times New Roman" w:hAnsi="Times New Roman"/>
          <w:sz w:val="24"/>
          <w:szCs w:val="24"/>
        </w:rPr>
        <w:t xml:space="preserve">Подсегменту</w:t>
      </w:r>
      <w:r>
        <w:rPr>
          <w:rFonts w:ascii="Times New Roman" w:hAnsi="Times New Roman"/>
          <w:sz w:val="24"/>
          <w:szCs w:val="24"/>
        </w:rPr>
        <w:t xml:space="preserve">) в целях </w:t>
      </w:r>
      <w:r>
        <w:rPr>
          <w:rFonts w:ascii="Times New Roman" w:hAnsi="Times New Roman"/>
          <w:sz w:val="24"/>
          <w:szCs w:val="24"/>
        </w:rPr>
        <w:t xml:space="preserve">непревышения</w:t>
      </w:r>
      <w:r>
        <w:rPr>
          <w:rFonts w:ascii="Times New Roman" w:hAnsi="Times New Roman"/>
          <w:sz w:val="24"/>
          <w:szCs w:val="24"/>
        </w:rPr>
        <w:t xml:space="preserve"> Максимального уровня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Фактический показатель </w:t>
      </w:r>
      <w:r>
        <w:rPr>
          <w:rFonts w:ascii="Times New Roman" w:hAnsi="Times New Roman"/>
          <w:b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– расчетный показатель фактического объема дефолтов по портфелю </w:t>
      </w:r>
      <w:r>
        <w:rPr>
          <w:rFonts w:ascii="Times New Roman" w:hAnsi="Times New Roman"/>
          <w:sz w:val="24"/>
          <w:szCs w:val="24"/>
        </w:rPr>
        <w:t xml:space="preserve">Поручительств </w:t>
      </w:r>
      <w:r>
        <w:rPr>
          <w:rFonts w:ascii="Times New Roman" w:hAnsi="Times New Roman"/>
          <w:sz w:val="24"/>
          <w:szCs w:val="24"/>
        </w:rPr>
        <w:t xml:space="preserve">Фонда </w:t>
      </w:r>
      <w:r>
        <w:rPr>
          <w:rFonts w:ascii="Times New Roman" w:hAnsi="Times New Roman"/>
          <w:sz w:val="24"/>
          <w:szCs w:val="24"/>
        </w:rPr>
        <w:t xml:space="preserve">в рамках Механизма, определяемый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настоящим</w:t>
      </w:r>
      <w:r>
        <w:rPr>
          <w:rFonts w:ascii="Times New Roman" w:hAnsi="Times New Roman"/>
          <w:sz w:val="24"/>
          <w:szCs w:val="24"/>
        </w:rPr>
        <w:t xml:space="preserve"> Регламентом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Максимальный уровень </w:t>
      </w:r>
      <w:r>
        <w:rPr>
          <w:rFonts w:ascii="Times New Roman" w:hAnsi="Times New Roman"/>
          <w:b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– показатель уровня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по Поручительствам</w:t>
      </w:r>
      <w:r>
        <w:rPr>
          <w:rFonts w:ascii="Times New Roman" w:hAnsi="Times New Roman"/>
          <w:sz w:val="24"/>
          <w:szCs w:val="24"/>
        </w:rPr>
        <w:t xml:space="preserve"> Фонда</w:t>
      </w:r>
      <w:r>
        <w:rPr>
          <w:rFonts w:ascii="Times New Roman" w:hAnsi="Times New Roman"/>
          <w:sz w:val="24"/>
          <w:szCs w:val="24"/>
        </w:rPr>
        <w:t xml:space="preserve">, выданным в рамках Механизма, определяемый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настоящим</w:t>
      </w:r>
      <w:r>
        <w:rPr>
          <w:rFonts w:ascii="Times New Roman" w:hAnsi="Times New Roman"/>
          <w:sz w:val="24"/>
          <w:szCs w:val="24"/>
        </w:rPr>
        <w:t xml:space="preserve"> Регламентом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</w:t>
      </w:r>
      <w:r>
        <w:rPr>
          <w:rFonts w:ascii="Times New Roman" w:hAnsi="Times New Roman"/>
          <w:sz w:val="24"/>
          <w:szCs w:val="24"/>
        </w:rPr>
        <w:t xml:space="preserve"> – перечень требований </w:t>
      </w:r>
      <w:r>
        <w:rPr>
          <w:rFonts w:ascii="Times New Roman" w:hAnsi="Times New Roman"/>
          <w:sz w:val="24"/>
          <w:szCs w:val="24"/>
        </w:rPr>
        <w:t xml:space="preserve">Корпорации </w:t>
      </w:r>
      <w:r>
        <w:rPr>
          <w:rFonts w:ascii="Times New Roman" w:hAnsi="Times New Roman"/>
          <w:sz w:val="24"/>
          <w:szCs w:val="24"/>
        </w:rPr>
        <w:t xml:space="preserve">к процессу предоставления кредитных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продуктов субъектам МСП, а также системе риск-менеджмента Банка-партнера,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отклонении от которых (при отсутствии обоснования 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допуска к Механизму при их наличии и/или невозможности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установления дополнительных условий и ограничений при взаимодействии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Банком, </w:t>
      </w:r>
      <w:r>
        <w:rPr>
          <w:rFonts w:ascii="Times New Roman" w:hAnsi="Times New Roman"/>
          <w:sz w:val="24"/>
          <w:szCs w:val="24"/>
        </w:rPr>
        <w:t xml:space="preserve">минимизирующие</w:t>
      </w:r>
      <w:r>
        <w:rPr>
          <w:rFonts w:ascii="Times New Roman" w:hAnsi="Times New Roman"/>
          <w:sz w:val="24"/>
          <w:szCs w:val="24"/>
        </w:rPr>
        <w:t xml:space="preserve"> вызванные данными отклонениями риски)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предоставление Банку-партнеру доступа к Механизму невозможно,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следующими нормативными документами </w:t>
      </w:r>
      <w:r>
        <w:rPr>
          <w:rFonts w:ascii="Times New Roman" w:hAnsi="Times New Roman"/>
          <w:sz w:val="24"/>
          <w:szCs w:val="24"/>
        </w:rPr>
        <w:t xml:space="preserve">Корпорации</w:t>
      </w:r>
      <w:r>
        <w:rPr>
          <w:rFonts w:ascii="Times New Roman" w:hAnsi="Times New Roman"/>
          <w:sz w:val="24"/>
          <w:szCs w:val="24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Методические рекомендации для банков-партнеров по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процесса кредитования субъектов МСП, соответствующего требованиям 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 к механизму предоставления гарантий и поручительств 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дополнительного анализа кредитоспособности принципала (утверждены решением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Совета директоров АО «Корпорация «МСП» (протокол от 19.11.2018 № 66);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Методические рекомендации по предоставлению гарантий и поручительств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новым клиентским сегментам с повышенным уровнем кредитного риска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(утверждены решением Совета директоров АО «Корпорация «МСП» (протокол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09.06.2017 № 36);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Методика анализа кредитного процесса, продуктового ряда и рейтинговых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моделей банков-партнеров АО «Корпорация «МСП» (утверждены решением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Правления АО «Корпорация «МСП» (протокол от 08.06.2017 № 697/17).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целей настоящего Регламента к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сегменту с повышенным уровнем риска</w:t>
      </w:r>
      <w:r>
        <w:rPr>
          <w:rFonts w:ascii="Times New Roman" w:hAnsi="Times New Roman"/>
          <w:sz w:val="24"/>
          <w:szCs w:val="24"/>
          <w:lang w:eastAsia="ru-RU"/>
        </w:rPr>
        <w:t xml:space="preserve"> относятся субъекты МСП, предоставление поручительств которым осуществляется без дополнительной оценки их кредитоспособности на основе оценки кредитного риска, проведенной Банком-партнером, инициирующим предоставление поручительства.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Понятие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бенефициарный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владелец</w:t>
      </w:r>
      <w:r>
        <w:rPr>
          <w:rFonts w:ascii="Times New Roman" w:hAnsi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определяется в соответствии с   Федеральным законом от 07.08.2001 № 115-ФЗ «О противодействии легализации (отмыванию) доходов, полученных преступным путем</w:t>
      </w:r>
      <w:r>
        <w:rPr>
          <w:rFonts w:ascii="Times New Roman" w:hAnsi="Times New Roman"/>
          <w:sz w:val="24"/>
          <w:szCs w:val="24"/>
          <w:lang w:eastAsia="ru-RU"/>
        </w:rPr>
        <w:t xml:space="preserve">, и финансированию терроризма».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Понятие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аффилированные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» определяется в соответствии с  Законом РСФСР от 22.03.1991 № 948-1 «О конкуренции и ограничении монополистической деятельности на товарных рынках».</w:t>
      </w:r>
      <w:r/>
    </w:p>
    <w:p>
      <w:pPr>
        <w:pStyle w:val="675"/>
        <w:numPr>
          <w:ilvl w:val="1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Настоящий Регламент определяет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особенности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предоставления Поручительств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 по обязательствам субъектов МСП, основанных на Кредитных договорах, 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оговорах о предоставлении гарантии с использованием Механизма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прочие стандартные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условия и порядок предоставления Поручительства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, не оговоренные в настоящем Регламенте,</w:t>
      </w:r>
      <w:r>
        <w:rPr>
          <w:rFonts w:ascii="Times New Roman" w:hAnsi="Times New Roman"/>
          <w:sz w:val="24"/>
          <w:szCs w:val="24"/>
          <w:lang w:eastAsia="ru-RU"/>
        </w:rPr>
        <w:t xml:space="preserve"> отражены в Регламенте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Основной Регламент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наличия противоречий между положениями настоящего Регламента и Основного Регламента, </w:t>
      </w:r>
      <w:r>
        <w:rPr>
          <w:rFonts w:ascii="Times New Roman" w:hAnsi="Times New Roman"/>
          <w:bCs/>
          <w:sz w:val="24"/>
          <w:szCs w:val="24"/>
        </w:rPr>
        <w:t xml:space="preserve">для Поручительств Фонда, предоставленных с использованием Механизма, </w:t>
      </w:r>
      <w:r>
        <w:rPr>
          <w:rFonts w:ascii="Times New Roman" w:hAnsi="Times New Roman"/>
          <w:bCs/>
          <w:sz w:val="24"/>
          <w:szCs w:val="24"/>
        </w:rPr>
        <w:t xml:space="preserve">применяются специальные положения настоящего Регламента.</w:t>
      </w:r>
      <w:r/>
    </w:p>
    <w:p>
      <w:pPr>
        <w:pStyle w:val="675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675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675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собенн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критерии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условия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Поручительства Фонда в рамках Механизма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</w:t>
      </w:r>
      <w:r/>
    </w:p>
    <w:p>
      <w:pPr>
        <w:pStyle w:val="675"/>
        <w:ind w:left="502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Поручительства Фонда без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возможно во взаимодействии с Банками-партнерами исключительно с высоким уровнем качества организации кредитного процесса,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используемых</w:t>
      </w:r>
      <w:r>
        <w:rPr>
          <w:rFonts w:ascii="Times New Roman" w:hAnsi="Times New Roman"/>
          <w:sz w:val="24"/>
          <w:szCs w:val="24"/>
          <w:lang w:eastAsia="ru-RU"/>
        </w:rPr>
        <w:t xml:space="preserve"> риск-инструментов, соответствующим Требованиям.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соответствия кредитной организации Требованиям проводится Корпорацией самостоятельно путем изучения </w:t>
      </w:r>
      <w:r>
        <w:rPr>
          <w:rFonts w:ascii="Times New Roman" w:hAnsi="Times New Roman"/>
          <w:sz w:val="24"/>
          <w:szCs w:val="24"/>
        </w:rPr>
        <w:t xml:space="preserve">нормативной базы Банка-партнера, регулирующей кредитный процесс,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положений о подразделениях, проводящих оценку кредитного качества Заемщиков,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статистической информации о фактической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в разрезе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рейтингов, предоставленных Банком-партнером Корпорации.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проведения оценки на соответствие Банком-партнером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 Корпорация </w:t>
      </w:r>
      <w:r>
        <w:rPr>
          <w:rFonts w:ascii="Times New Roman" w:hAnsi="Times New Roman"/>
          <w:sz w:val="24"/>
          <w:szCs w:val="24"/>
        </w:rPr>
        <w:t xml:space="preserve">принимает соответствующее решение по</w:t>
      </w:r>
      <w:r>
        <w:rPr>
          <w:rFonts w:ascii="Times New Roman" w:hAnsi="Times New Roman"/>
          <w:sz w:val="24"/>
          <w:szCs w:val="24"/>
        </w:rPr>
        <w:t xml:space="preserve"> допуску Банка-партнера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Механизму и определ</w:t>
      </w:r>
      <w:r>
        <w:rPr>
          <w:rFonts w:ascii="Times New Roman" w:hAnsi="Times New Roman"/>
          <w:sz w:val="24"/>
          <w:szCs w:val="24"/>
        </w:rPr>
        <w:t xml:space="preserve">яет</w:t>
      </w:r>
      <w:r>
        <w:rPr>
          <w:rFonts w:ascii="Times New Roman" w:hAnsi="Times New Roman"/>
          <w:sz w:val="24"/>
          <w:szCs w:val="24"/>
        </w:rPr>
        <w:t xml:space="preserve"> Граничны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рейтингов с описанием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Подсегмент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 Кредитных продуктов Банка-партнера, Целевой структуры рейтинг</w:t>
      </w:r>
      <w:r>
        <w:rPr>
          <w:rFonts w:ascii="Times New Roman" w:hAnsi="Times New Roman"/>
          <w:sz w:val="24"/>
          <w:szCs w:val="24"/>
        </w:rPr>
        <w:t xml:space="preserve">ов и</w:t>
      </w:r>
      <w:r>
        <w:rPr>
          <w:rFonts w:ascii="Times New Roman" w:hAnsi="Times New Roman"/>
          <w:sz w:val="24"/>
          <w:szCs w:val="24"/>
        </w:rPr>
        <w:t xml:space="preserve"> иных </w:t>
      </w:r>
      <w:r>
        <w:rPr>
          <w:rFonts w:ascii="Times New Roman" w:hAnsi="Times New Roman"/>
          <w:sz w:val="24"/>
          <w:szCs w:val="24"/>
        </w:rPr>
        <w:t xml:space="preserve">условий работы с Банком-партнером в рамках Механизма.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Поручительство Фонда </w:t>
      </w:r>
      <w:r>
        <w:rPr>
          <w:rFonts w:ascii="Times New Roman" w:hAnsi="Times New Roman"/>
          <w:sz w:val="24"/>
          <w:szCs w:val="24"/>
          <w:lang w:eastAsia="ru-RU"/>
        </w:rPr>
        <w:t xml:space="preserve">с использованием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Механизма </w:t>
      </w:r>
      <w:r>
        <w:rPr>
          <w:rFonts w:ascii="Times New Roman" w:hAnsi="Times New Roman"/>
          <w:sz w:val="24"/>
          <w:szCs w:val="24"/>
          <w:lang w:eastAsia="ru-RU"/>
        </w:rPr>
        <w:t xml:space="preserve">с ПАО Сбербанк</w:t>
      </w:r>
      <w:r>
        <w:rPr>
          <w:rFonts w:ascii="Times New Roman" w:hAnsi="Times New Roman"/>
          <w:sz w:val="24"/>
          <w:szCs w:val="24"/>
          <w:lang w:eastAsia="ru-RU"/>
        </w:rPr>
        <w:t xml:space="preserve">, Банк ВТБ (ПАО)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предоставляется в размере до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5 млн.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(включительно)</w:t>
      </w:r>
      <w:r>
        <w:rPr>
          <w:rFonts w:ascii="Times New Roman" w:hAnsi="Times New Roman"/>
          <w:sz w:val="24"/>
          <w:szCs w:val="24"/>
          <w:lang w:eastAsia="ru-RU"/>
        </w:rPr>
        <w:t xml:space="preserve">,  с ПАО Банк «ФК Открытие»</w:t>
      </w:r>
      <w:r>
        <w:rPr>
          <w:rFonts w:ascii="Times New Roman" w:hAnsi="Times New Roman"/>
          <w:sz w:val="24"/>
          <w:szCs w:val="24"/>
          <w:lang w:eastAsia="ru-RU"/>
        </w:rPr>
        <w:t xml:space="preserve">, АО «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размере от 5 до 15 млн. руб.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объем единовременно выдаваемого Поручительства в отношении одного Заемщика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одному Обеспечиваемому обязательству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Максимальный размер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 Фонда за Заемщика перед Банком-партнером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lang w:eastAsia="ru-RU"/>
        </w:rPr>
        <w:t xml:space="preserve"> не более 50 % от суммы неисполненного Обеспечиваемого обязательства на момент предъявления требования Банка-партнера по такому договору, обеспеченному Поручительством Фонда.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введении режима повышенной готовности или режима чрезвычайной ситуации, гарантийный лимит на </w:t>
      </w:r>
      <w:r>
        <w:rPr>
          <w:rFonts w:ascii="Times New Roman" w:hAnsi="Times New Roman"/>
          <w:sz w:val="24"/>
          <w:szCs w:val="24"/>
          <w:lang w:eastAsia="ru-RU"/>
        </w:rPr>
        <w:t xml:space="preserve">Заемщика</w:t>
      </w:r>
      <w:r>
        <w:rPr>
          <w:rFonts w:ascii="Times New Roman" w:hAnsi="Times New Roman"/>
          <w:sz w:val="24"/>
          <w:szCs w:val="24"/>
          <w:lang w:eastAsia="ru-RU"/>
        </w:rPr>
        <w:t xml:space="preserve">, осуществляющего деятельность на территории, в отношении которой введен один из указанных режимов, то есть предельная сумма обязательства Фонда по договору поручительства в отношении одного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Заемщика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устанавливается в размере 60% от суммы Обеспечиваемого обязательства.  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лимит на Клиента, то есть предельная сумма обязательств Фонда по договорам поручительств, которые могут одновременно действовать в отношении одного Клиента, не может превышать 7% гарантийного капитала Фонда.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Совокупный объем Поручительств Фонда, одновременно действующий в отношении группы взаимосвязанных (аффилированных) лиц не может превышать 10% гарантийного капитала</w:t>
      </w:r>
      <w:r>
        <w:rPr>
          <w:rFonts w:ascii="Times New Roman" w:hAnsi="Times New Roman"/>
          <w:sz w:val="24"/>
          <w:szCs w:val="24"/>
        </w:rPr>
        <w:t xml:space="preserve">.   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Размер гарантийного капитала Фонда устанавливается по данным бухгалтерской (финансовой) отчетности по состоянию на начало отчетного периода (квартал, год).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Фондом не устанавливается </w:t>
      </w:r>
      <w:r>
        <w:rPr>
          <w:rFonts w:ascii="Times New Roman" w:hAnsi="Times New Roman"/>
          <w:sz w:val="24"/>
          <w:szCs w:val="24"/>
        </w:rPr>
        <w:t xml:space="preserve">отдельный </w:t>
      </w:r>
      <w:r>
        <w:rPr>
          <w:rFonts w:ascii="Times New Roman" w:hAnsi="Times New Roman"/>
          <w:sz w:val="24"/>
          <w:szCs w:val="24"/>
        </w:rPr>
        <w:t xml:space="preserve">гарантийный</w:t>
      </w:r>
      <w:r>
        <w:rPr>
          <w:rFonts w:ascii="Times New Roman" w:hAnsi="Times New Roman"/>
          <w:sz w:val="24"/>
          <w:szCs w:val="24"/>
        </w:rPr>
        <w:t xml:space="preserve"> лимит на Заемщика по договорам </w:t>
      </w:r>
      <w:r>
        <w:rPr>
          <w:rFonts w:ascii="Times New Roman" w:hAnsi="Times New Roman"/>
          <w:sz w:val="24"/>
          <w:szCs w:val="24"/>
        </w:rPr>
        <w:t xml:space="preserve">поручительств, предоставленных исключительно в рамках Механизма.</w:t>
      </w:r>
      <w:r/>
    </w:p>
    <w:p>
      <w:pPr>
        <w:pStyle w:val="675"/>
        <w:ind w:left="0" w:firstLine="709"/>
        <w:jc w:val="both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Максимальный срок предоставления Поручительства по Заявкам на Поручительство Фонда в рамках лимита, установленного согласно разделу 9 Основного Регламента, не может превышать 3 (Трех) лет.</w:t>
      </w:r>
      <w:r/>
    </w:p>
    <w:p>
      <w:pPr>
        <w:pStyle w:val="675"/>
        <w:ind w:left="0" w:firstLine="709"/>
        <w:jc w:val="both"/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рамках</w:t>
      </w:r>
      <w:r>
        <w:rPr>
          <w:rFonts w:ascii="Times New Roman" w:hAnsi="Times New Roman"/>
          <w:sz w:val="24"/>
          <w:szCs w:val="24"/>
          <w:lang w:eastAsia="ru-RU"/>
        </w:rPr>
        <w:t xml:space="preserve"> Механизма не предоставляются Поручительства Фонда Заемщикам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обязательствам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которых Банком-партнером проводилась или проводится реструктуризация (в определении п. 3.7.2.2.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Положения Банка России №590-П), не связанная </w:t>
      </w:r>
      <w:r>
        <w:rPr>
          <w:rFonts w:ascii="Times New Roman" w:hAnsi="Times New Roman"/>
          <w:sz w:val="24"/>
          <w:szCs w:val="24"/>
          <w:lang w:eastAsia="ru-RU"/>
        </w:rPr>
        <w:t xml:space="preserve">с изменением процентной ставки.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рамках Механизма предоставляется Поручительство Фонда для определенных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Подсегментов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Заемщиков в рамках определенных кредитных продуктов, устанавливаемых самостоятельно Корпорацией при допуске конкретного Банка-партнера к Механизму.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Также Корпорация регламентирует предельные сроки Обеспечиваемого обязательства в привязке к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Подсегментам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Рейтингам Заемщиков.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2.5.1.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Действующие условия и ограничения, установленные для ПАО Сбербанк в рамка</w:t>
      </w:r>
      <w:r>
        <w:rPr>
          <w:rFonts w:ascii="Times New Roman" w:hAnsi="Times New Roman"/>
          <w:sz w:val="24"/>
          <w:szCs w:val="24"/>
          <w:lang w:eastAsia="ru-RU"/>
        </w:rPr>
        <w:t xml:space="preserve">х механизма гарантийной поддержк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>
        <w:trPr>
          <w:trHeight w:val="645"/>
        </w:trPr>
        <w:tc>
          <w:tcPr>
            <w:shd w:val="clear" w:color="auto" w:fill="auto"/>
            <w:tcW w:w="9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одсег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мента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«Корпоративный бизнес»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рамках продуктов  «Пополнение оборотных средств», «Инвестиционное кредитование»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с Р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ейтингом,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определенным согласно модели Банка «Корпоративные клиенты-резиденты РФ»: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1, 2, 3, 4, 5, 6, 7, 8, 9, 10, 11, 12, 13 по обязательствам, срок которых не превышает 180 месяцев;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14 по обязательствам, срок которых не превышает 156 месяцев;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15 по обязательствам, срок которых не превышает 84 месяца;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16 по обязательствам, срок которых не превышает 60 месяцев;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17 по обязательствам, срок которых не превышает 24 месяца.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рейтингам 18, 19, 20, 21, 22, 23, 24, 25, 26 не предоставляются вне зависимости от сроков обязательств.</w:t>
            </w:r>
            <w:r/>
          </w:p>
        </w:tc>
      </w:tr>
    </w:tbl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tbl>
      <w:tblPr>
        <w:tblW w:w="9366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66"/>
      </w:tblGrid>
      <w:tr>
        <w:trPr>
          <w:trHeight w:val="690"/>
        </w:trPr>
        <w:tc>
          <w:tcPr>
            <w:shd w:val="clear" w:color="auto" w:fill="auto"/>
            <w:tcW w:w="93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рамках Механизма предоставляются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Поручительства Фонда по Заемщикам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одсег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мента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«Микро и Малый бизнес»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в рамках продуктов «Инвестиционный кредит»,  «Оборотный кредит»,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Овердрафтный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кредит»,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«Кредит на проект» и «Гарантия»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с Р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ейтингом, определенным согласно модели Банка «Интегральная рейтинговая модель клиентов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риск-сегмента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«Малый бизнес»: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1, 2, 3, 4, 5, 6, 7, 8, 9, 10, 11, 12, 13, 14 по обязательствам, срок которых не превышает 120 месяцев;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15 по обязательствам, срок которых не превышает 84 месяца;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16 по обязательствам, срок которых не превышает 48 месяцев;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17 по обязательствам, срок которых не превышает 24 месяца.</w:t>
            </w:r>
            <w:r/>
          </w:p>
        </w:tc>
      </w:tr>
      <w:tr>
        <w:trPr>
          <w:trHeight w:val="405"/>
        </w:trPr>
        <w:tc>
          <w:tcPr>
            <w:shd w:val="clear" w:color="auto" w:fill="auto"/>
            <w:tcW w:w="936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рейтингам 18, 19, 20, 21, 22, 23, 24, 25, 26 не предоставляются вне зависимости от сроков обязательств.</w:t>
            </w:r>
            <w:r/>
          </w:p>
        </w:tc>
      </w:tr>
    </w:tbl>
    <w:p>
      <w:pPr>
        <w:pStyle w:val="675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/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2.5.2. Действующие условия и ограничения, установленные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ПАО Банк «ФК Открытие»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>
        <w:trPr>
          <w:trHeight w:val="645"/>
        </w:trPr>
        <w:tc>
          <w:tcPr>
            <w:shd w:val="clear" w:color="auto" w:fill="auto"/>
            <w:tcW w:w="9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Микробизнес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, малый бизнес, средний бизнес»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 рамках  продуктов «Универсальный», «Целевой», «Возобновляемая кредитная линия», «Овердрафт», «Контракт»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с Рейтингом,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определенным согласно рейтинговой модели Банка «Порядок рейтинговой оценки корпоративных клиентов»: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1, 2, 3, 4, 5, 6, 7, 8, 9, 10, 11, 12, 13,14,15,16,17,18,19  по обязательствам, срок которых не превышает 120 месяцев;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рейтингам 20, 21, 22, 23, 24, 25, 26, 27, 28, 29, 30,31 не предоставляются вне зависимости от сроков обязательств.</w:t>
            </w:r>
            <w:r/>
          </w:p>
        </w:tc>
      </w:tr>
    </w:tbl>
    <w:p>
      <w:pPr>
        <w:pStyle w:val="675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/>
    </w:p>
    <w:p>
      <w:pPr>
        <w:pStyle w:val="675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2.5.3. Действующие условия и ограничения, установленные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 ВТБ (ПАО)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>
        <w:trPr>
          <w:trHeight w:val="645"/>
        </w:trPr>
        <w:tc>
          <w:tcPr>
            <w:shd w:val="clear" w:color="auto" w:fill="auto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Стандартный» клиентского сегмента «Средний и малый бизнес»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с Рейтингом,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определенным согласно рейтинговой модели Банка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Модель оценки  кредитного риска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»: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А,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обязательствам, срок 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оторых не превышает 120 месяцев в рамках продуктов «Оборотный», «Оборотный. Урожайный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бизнес_спец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.у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словия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«Инвестиционный», «Целевой»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 обязательствам, срок которых не превышает 12 месяцев в рамках  продуктов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«Оборотный», «Оборотный. Урожайный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бизнес_спец.условия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«Целевой»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рейтинг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 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D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предоставляются вне зависимости от сроков обязательств.</w:t>
            </w:r>
            <w:r/>
          </w:p>
        </w:tc>
      </w:tr>
    </w:tbl>
    <w:p>
      <w:pPr>
        <w:pStyle w:val="675"/>
        <w:ind w:left="0"/>
        <w:jc w:val="both"/>
        <w:spacing w:after="0" w:line="240" w:lineRule="auto"/>
        <w:tabs>
          <w:tab w:val="left" w:pos="93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/>
    </w:p>
    <w:p>
      <w:pPr>
        <w:pStyle w:val="675"/>
        <w:ind w:left="0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2.5.4. Действующие условия и ограничения, установленные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рамках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lang w:eastAsia="ru-RU"/>
        </w:rPr>
        <w:t xml:space="preserve"> </w:t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>
        <w:trPr>
          <w:trHeight w:val="645"/>
        </w:trPr>
        <w:tc>
          <w:tcPr>
            <w:shd w:val="clear" w:color="auto" w:fill="auto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МСБ60+ клиентского сегмента МСБ в рамках продуктов «№ 424-П» («Кредит в целях обеспечения заявок на участие в конкурсе/аукционе на поставку товаров, выполнение работ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и оказание услуг для государственных и муниципальных нужд»), «№ 543-П» («Инвестиционный – стандарт»), «№ 411-П» («Кредит на цели, связанные с проведением сезонных работ»), «№ 495-П» («Оборотный – стандарт»), «№ 376-П» («Кредит на рефинансирование кредитов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, предоставленных сторонними кредитными организациями»), «№ 162-П» («Кредитование рыбоводных хозяйств»), «№ 181-П» («Кредитование предприятий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марикультуры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»), «№ 371-П» («Кредит предприятиям рыболовства»), «1-И» («Кредит на текущие цели»), «2-И» («Кредит на инвестиционные цели»), «№ 570-П» («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Рефинанс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-кредит»)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с Рейтингом, определенным согласно рейтинговой модели Банка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Методика расчета внутренних кредитных рейтингов корпоративных заемщиков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выручкой более 60 млн. руб.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»:</w:t>
            </w:r>
            <w:r/>
          </w:p>
        </w:tc>
      </w:tr>
      <w:tr>
        <w:trPr>
          <w:trHeight w:val="549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1+, 1, 1-, 2+, 2, 2-, 3+, 3, 3-, 4+, 4, 4-, 5+, 5, 5-, 6+ по обязательствам, срок которых не превышает 96 месяцев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 по обязательствам, срок которых не превышает  12 месяцев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W w:w="93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рейтингу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6-, 7+, 7, 7-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предоставляются вне зависимости от сроков обязательств.</w:t>
            </w:r>
            <w:r/>
          </w:p>
        </w:tc>
      </w:tr>
    </w:tbl>
    <w:p>
      <w:pPr>
        <w:pStyle w:val="675"/>
        <w:ind w:left="0"/>
        <w:jc w:val="both"/>
        <w:spacing w:after="0" w:line="240" w:lineRule="auto"/>
        <w:tabs>
          <w:tab w:val="left" w:pos="93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/>
    </w:p>
    <w:p>
      <w:pPr>
        <w:pStyle w:val="675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. Вза</w:t>
      </w:r>
      <w:r>
        <w:rPr>
          <w:rFonts w:ascii="Times New Roman" w:hAnsi="Times New Roman"/>
          <w:sz w:val="24"/>
          <w:szCs w:val="24"/>
          <w:lang w:eastAsia="ru-RU"/>
        </w:rPr>
        <w:t xml:space="preserve">имодействие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 и Банка-партнера, в </w:t>
      </w:r>
      <w:r>
        <w:rPr>
          <w:rFonts w:ascii="Times New Roman" w:hAnsi="Times New Roman"/>
          <w:sz w:val="24"/>
          <w:szCs w:val="24"/>
          <w:lang w:eastAsia="ru-RU"/>
        </w:rPr>
        <w:t xml:space="preserve">т.ч</w:t>
      </w:r>
      <w:r>
        <w:rPr>
          <w:rFonts w:ascii="Times New Roman" w:hAnsi="Times New Roman"/>
          <w:sz w:val="24"/>
          <w:szCs w:val="24"/>
          <w:lang w:eastAsia="ru-RU"/>
        </w:rPr>
        <w:t xml:space="preserve">. по получению Заявки на Поручительство Фонда от </w:t>
      </w:r>
      <w:r>
        <w:rPr>
          <w:rFonts w:ascii="Times New Roman" w:hAnsi="Times New Roman"/>
          <w:sz w:val="24"/>
          <w:szCs w:val="24"/>
          <w:lang w:eastAsia="ru-RU"/>
        </w:rPr>
        <w:t xml:space="preserve">Банка-партнера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всех сопутствующих документов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происходит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посредством автоматизированных систем электронного документооборота (АС «Сфера-Курьер» (</w:t>
      </w:r>
      <w:r>
        <w:rPr>
          <w:rFonts w:ascii="Times New Roman" w:hAnsi="Times New Roman"/>
          <w:sz w:val="24"/>
          <w:szCs w:val="24"/>
          <w:lang w:eastAsia="ru-RU"/>
        </w:rPr>
        <w:t xml:space="preserve">Корус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  <w:t xml:space="preserve">/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Factura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sz w:val="24"/>
          <w:szCs w:val="24"/>
          <w:lang w:eastAsia="ru-RU"/>
        </w:rPr>
        <w:t xml:space="preserve">, АИС НГС </w:t>
      </w:r>
      <w:r>
        <w:rPr>
          <w:rFonts w:ascii="Times New Roman" w:hAnsi="Times New Roman"/>
          <w:sz w:val="24"/>
          <w:szCs w:val="24"/>
          <w:lang w:eastAsia="ru-RU"/>
        </w:rPr>
        <w:t xml:space="preserve"> и др.)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Заявка Банка-партнера на получение 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 в рамках Механизма включает в себя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Банком-партнером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в Фонд следующих документов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pStyle w:val="67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2.7.1.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аявк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получение</w:t>
      </w:r>
      <w:r>
        <w:rPr>
          <w:rFonts w:ascii="Times New Roman" w:hAnsi="Times New Roman"/>
          <w:sz w:val="24"/>
          <w:szCs w:val="24"/>
        </w:rPr>
        <w:t xml:space="preserve"> Поручительства Фонда, составленн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 по типовой форме (Приложение № 1 к </w:t>
      </w:r>
      <w:r>
        <w:rPr>
          <w:rFonts w:ascii="Times New Roman" w:hAnsi="Times New Roman"/>
          <w:sz w:val="24"/>
          <w:szCs w:val="24"/>
        </w:rPr>
        <w:t xml:space="preserve">настоящему Регламенту)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Данный докумен</w:t>
      </w:r>
      <w:r>
        <w:rPr>
          <w:rFonts w:ascii="Times New Roman" w:hAnsi="Times New Roman"/>
          <w:sz w:val="24"/>
          <w:szCs w:val="24"/>
        </w:rPr>
        <w:t xml:space="preserve">т, включающий все необходимые согласия субъектов персональных данных на обработку Фондом таких персональных данных,  передается в Фонд на бумажном носителе не позднее даты предоставления Банком-партнером в Фонд всех прочих документов, указанных в п. 2.7.2.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2.7.4. настоящего Регламента;</w:t>
      </w:r>
      <w:r/>
    </w:p>
    <w:p>
      <w:pPr>
        <w:pStyle w:val="6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2.7.2.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Документы Заемщика, предоставляемые от Банка-партнера – единый комплект документов, запрашиваемый по Заявке в рамках Механизма, предусмотренный </w:t>
      </w:r>
      <w:r>
        <w:rPr>
          <w:rFonts w:ascii="Times New Roman" w:hAnsi="Times New Roman"/>
          <w:sz w:val="24"/>
          <w:szCs w:val="24"/>
        </w:rPr>
        <w:t xml:space="preserve">соответствующим приложением к «</w:t>
      </w:r>
      <w:r>
        <w:rPr>
          <w:rFonts w:ascii="Times New Roman" w:hAnsi="Times New Roman"/>
          <w:sz w:val="24"/>
          <w:szCs w:val="24"/>
        </w:rPr>
        <w:t xml:space="preserve">Правилам взаимодействия банков и организаций 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в действующей редакции (Перечень документов Заемщика при рассмотрении по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еханизму)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7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правк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об исполнении налогоплательщиком (плательщиком сборов, налоговым агентом) субъектом малого (среднего) предпринимательства обязанности по уплате налогов, сборов, пеней, штрафов по форме КНД 1120101 или справк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о состоянии расчетов по налогам, сборам, пеням и штрафам по 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форме КНД 116008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по состоянию на любую дату в течение периода, равного 30 календарным дням, предшествующего дате заключения договора (соглашения) о предоставлении поручительства. </w:t>
      </w:r>
      <w:r/>
    </w:p>
    <w:p>
      <w:pPr>
        <w:pStyle w:val="67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Указанная справка предоставляется Клиентом самостоятельно в виде оригинала или заверенной копии уполномоченн</w:t>
      </w:r>
      <w:r>
        <w:rPr>
          <w:rFonts w:ascii="Times New Roman" w:hAnsi="Times New Roman"/>
          <w:sz w:val="24"/>
          <w:szCs w:val="24"/>
        </w:rPr>
        <w:t xml:space="preserve">ым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 xml:space="preserve">ом Клиент</w:t>
      </w:r>
      <w:r>
        <w:rPr>
          <w:rFonts w:ascii="Times New Roman" w:hAnsi="Times New Roman"/>
          <w:sz w:val="24"/>
          <w:szCs w:val="24"/>
        </w:rPr>
        <w:t xml:space="preserve">а только в</w:t>
      </w:r>
      <w:r>
        <w:rPr>
          <w:rFonts w:ascii="Times New Roman" w:hAnsi="Times New Roman"/>
          <w:sz w:val="24"/>
          <w:szCs w:val="24"/>
        </w:rPr>
        <w:t xml:space="preserve"> случае отсутствия технической возможности получения Фондом</w:t>
      </w:r>
      <w:r>
        <w:rPr>
          <w:rFonts w:ascii="Times New Roman" w:hAnsi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/>
          <w:sz w:val="24"/>
          <w:szCs w:val="24"/>
        </w:rPr>
        <w:t xml:space="preserve"> данной справки </w:t>
      </w:r>
      <w:r>
        <w:rPr>
          <w:rFonts w:ascii="Times New Roman" w:hAnsi="Times New Roman"/>
          <w:sz w:val="24"/>
          <w:szCs w:val="24"/>
        </w:rPr>
        <w:t xml:space="preserve">с использованием единой системы межведомственного электронного взаимодействия или получения сведений о наличии </w:t>
      </w:r>
      <w:r>
        <w:rPr>
          <w:rFonts w:ascii="Times New Roman" w:hAnsi="Times New Roman"/>
          <w:sz w:val="24"/>
          <w:szCs w:val="24"/>
        </w:rPr>
        <w:t xml:space="preserve">у Клиента </w:t>
      </w:r>
      <w:r>
        <w:rPr>
          <w:rFonts w:ascii="Times New Roman" w:hAnsi="Times New Roman"/>
          <w:sz w:val="24"/>
          <w:szCs w:val="24"/>
        </w:rPr>
        <w:t xml:space="preserve">задолженности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74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Допускается получение Клиентом данной справки в электронном виде через официальный сайт ФНС России или портал государственных услуг РФ с электронной подписью с последующим предоставлением Клиентом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 эк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земпляра электронного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документа на бумажном носителе, заверенного   </w:t>
      </w:r>
      <w:r>
        <w:rPr>
          <w:rFonts w:ascii="Times New Roman" w:hAnsi="Times New Roman"/>
          <w:sz w:val="24"/>
          <w:szCs w:val="24"/>
        </w:rPr>
        <w:t xml:space="preserve">печатью (при наличии) и подписью руководителя (или иного уполномоченного лица) Клиента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</w:t>
      </w:r>
      <w:r/>
    </w:p>
    <w:p>
      <w:pPr>
        <w:pStyle w:val="67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2.7.4. </w:t>
      </w:r>
      <w:r>
        <w:rPr>
          <w:rFonts w:ascii="Times New Roman" w:hAnsi="Times New Roman"/>
          <w:sz w:val="24"/>
          <w:szCs w:val="24"/>
        </w:rPr>
        <w:t xml:space="preserve">Банк-партнер и/или Клиент вправе представить дополнительные документы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Документы, указанные в п. 2.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.1.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</w:rPr>
        <w:t xml:space="preserve">, 2.7.4</w:t>
      </w:r>
      <w:r>
        <w:rPr>
          <w:rFonts w:ascii="Times New Roman" w:hAnsi="Times New Roman"/>
          <w:sz w:val="24"/>
          <w:szCs w:val="24"/>
        </w:rPr>
        <w:t xml:space="preserve"> настоящего Регламента, предоставляются Банком-партнером в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посредством автоматизированных систем электронного документооборота (АС</w:t>
      </w:r>
      <w:r>
        <w:rPr>
          <w:rFonts w:ascii="Times New Roman" w:hAnsi="Times New Roman"/>
          <w:sz w:val="24"/>
          <w:szCs w:val="24"/>
          <w:lang w:eastAsia="ru-RU"/>
        </w:rPr>
        <w:t xml:space="preserve"> «Сфера-Курьер» (</w:t>
      </w:r>
      <w:r>
        <w:rPr>
          <w:rFonts w:ascii="Times New Roman" w:hAnsi="Times New Roman"/>
          <w:sz w:val="24"/>
          <w:szCs w:val="24"/>
          <w:lang w:eastAsia="ru-RU"/>
        </w:rPr>
        <w:t xml:space="preserve">Корус</w:t>
      </w:r>
      <w:r>
        <w:rPr>
          <w:rFonts w:ascii="Times New Roman" w:hAnsi="Times New Roman"/>
          <w:sz w:val="24"/>
          <w:szCs w:val="24"/>
          <w:lang w:eastAsia="ru-RU"/>
        </w:rPr>
        <w:t xml:space="preserve">)/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Factura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sz w:val="24"/>
          <w:szCs w:val="24"/>
          <w:lang w:eastAsia="ru-RU"/>
        </w:rPr>
        <w:t xml:space="preserve">, АИС НГС  и др.)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Клиента формируются в досье  на бумажном носителе с последующим заверением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печатью (при наличии) и подписью руководителя (или иного уполномоченного лица) Клиента.  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рассмотрения</w:t>
      </w:r>
      <w:r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при условии </w:t>
      </w:r>
      <w:r>
        <w:rPr>
          <w:rFonts w:ascii="Times New Roman" w:hAnsi="Times New Roman"/>
          <w:sz w:val="24"/>
          <w:szCs w:val="24"/>
        </w:rPr>
        <w:t xml:space="preserve">полной </w:t>
      </w:r>
      <w:r>
        <w:rPr>
          <w:rFonts w:ascii="Times New Roman" w:hAnsi="Times New Roman"/>
          <w:sz w:val="24"/>
          <w:szCs w:val="24"/>
        </w:rPr>
        <w:t xml:space="preserve">комплектности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sz w:val="24"/>
          <w:szCs w:val="24"/>
        </w:rPr>
        <w:t xml:space="preserve">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 более 3 (Т</w:t>
      </w:r>
      <w:r>
        <w:rPr>
          <w:rFonts w:ascii="Times New Roman" w:hAnsi="Times New Roman"/>
          <w:sz w:val="24"/>
          <w:szCs w:val="24"/>
          <w:lang w:eastAsia="ru-RU"/>
        </w:rPr>
        <w:t xml:space="preserve">рех) рабочих дней со дня её получения Фондом (регистрации). При этом Фонд вправе приостановить течение указанного срока при возникновении дополнительных запросов со стороны </w:t>
      </w:r>
      <w:r>
        <w:rPr>
          <w:rFonts w:ascii="Times New Roman" w:hAnsi="Times New Roman"/>
          <w:sz w:val="24"/>
          <w:szCs w:val="24"/>
        </w:rPr>
        <w:t xml:space="preserve">отдела по правовой работе</w:t>
      </w:r>
      <w:r>
        <w:rPr>
          <w:rFonts w:ascii="Times New Roman" w:hAnsi="Times New Roman"/>
          <w:sz w:val="24"/>
          <w:szCs w:val="24"/>
        </w:rPr>
        <w:t xml:space="preserve"> Фонда на основании служебной записки, согласованной Директором Фонда.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введении режима повышенной готовности или режима чрезвычайной ситуации на территории Тульской области  р</w:t>
      </w:r>
      <w:r>
        <w:rPr>
          <w:rFonts w:ascii="Times New Roman" w:hAnsi="Times New Roman"/>
          <w:sz w:val="24"/>
          <w:szCs w:val="24"/>
        </w:rPr>
        <w:t xml:space="preserve">ешение по Заявкам на Поручительство Фонда </w:t>
      </w:r>
      <w:r>
        <w:rPr>
          <w:rFonts w:ascii="Times New Roman" w:hAnsi="Times New Roman"/>
          <w:sz w:val="24"/>
          <w:szCs w:val="24"/>
        </w:rPr>
        <w:t xml:space="preserve">в рамках лимита, установленного согласно разделу 9 Основного Регламента,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принимается Комиссией при условии комплектности документов в срок не более 1 (Одного)  рабочего дня, следующего за днем </w:t>
      </w:r>
      <w:r>
        <w:rPr>
          <w:rFonts w:ascii="Times New Roman" w:hAnsi="Times New Roman"/>
          <w:sz w:val="24"/>
          <w:szCs w:val="24"/>
        </w:rPr>
        <w:t xml:space="preserve">получения</w:t>
      </w:r>
      <w:r>
        <w:rPr>
          <w:rFonts w:ascii="Times New Roman" w:hAnsi="Times New Roman"/>
          <w:sz w:val="24"/>
          <w:szCs w:val="24"/>
        </w:rPr>
        <w:t xml:space="preserve"> Заявки (независимо от времени поступления Заявки).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Лимит условных обязательств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Банк-партнер в рамках Механизма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устанавливается равным</w:t>
      </w:r>
      <w:r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 xml:space="preserve">му</w:t>
      </w:r>
      <w:r>
        <w:rPr>
          <w:rFonts w:ascii="Times New Roman" w:hAnsi="Times New Roman"/>
          <w:sz w:val="24"/>
          <w:szCs w:val="24"/>
        </w:rPr>
        <w:t xml:space="preserve"> Лимит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условных обязательств на Банк-партнер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Изменение лимитов условных обязательств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Банк-партнер в рамках Механизма</w:t>
      </w:r>
      <w:r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по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Фонда.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портфелю Поручительств Фон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eastAsia="ru-RU"/>
        </w:rPr>
        <w:t xml:space="preserve">по обязательствам субъектов МСП, основанных на Кредитных договорах, Договорах о предоставлении гарантии с использованием Механизма,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 Фактический показатель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дефолтности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– расчетный показатель фактического объема дефолтов по портфелю Поручительств Фонда в рамках Механизма.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Фактический показатель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дефолтности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как доля Поручительств Фонда с наличием просроченной задолженности Заемщика перед Банком-партнером по Обеспечиваемому обязательству сроком более 90 календарных дней (для кредитов) и 30 календарных дней (для банковских гарантий)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Поручительств Фонда субъектам МСП, находящимся в процессе банкротства/ликвидации, в том числе завершенном,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общем объеме </w:t>
      </w:r>
      <w:r>
        <w:rPr>
          <w:rFonts w:ascii="Times New Roman" w:hAnsi="Times New Roman"/>
          <w:sz w:val="24"/>
          <w:szCs w:val="24"/>
        </w:rPr>
        <w:t xml:space="preserve">портфеля Поручительств Фонда</w:t>
      </w:r>
      <w:r>
        <w:rPr>
          <w:rFonts w:ascii="Times New Roman" w:hAnsi="Times New Roman"/>
          <w:sz w:val="24"/>
          <w:szCs w:val="24"/>
        </w:rPr>
        <w:t xml:space="preserve"> в рамках Механизма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этом в качестве М</w:t>
      </w:r>
      <w:r>
        <w:rPr>
          <w:rFonts w:ascii="Times New Roman" w:hAnsi="Times New Roman"/>
          <w:sz w:val="24"/>
          <w:szCs w:val="24"/>
          <w:lang w:eastAsia="ru-RU"/>
        </w:rPr>
        <w:t xml:space="preserve">аксимального уровня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дефолтности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работы по Механизму </w:t>
      </w:r>
      <w:r>
        <w:rPr>
          <w:rFonts w:ascii="Times New Roman" w:hAnsi="Times New Roman"/>
          <w:sz w:val="24"/>
          <w:szCs w:val="24"/>
          <w:lang w:eastAsia="ru-RU"/>
        </w:rPr>
        <w:t xml:space="preserve">Фондом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принимается показатель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%.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Поручительство Фонда в рамках Механизма предоставляется, если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аемщик</w:t>
      </w:r>
      <w:r>
        <w:rPr>
          <w:rFonts w:ascii="Times New Roman" w:hAnsi="Times New Roman"/>
          <w:sz w:val="24"/>
          <w:szCs w:val="24"/>
        </w:rPr>
        <w:t xml:space="preserve"> отвечает следующим критериям: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отвечает условиям отнесения к субъектам МСП, установленным статьей 4 Федерального закона № 209-ФЗ; 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</w:t>
      </w:r>
      <w:r>
        <w:rPr>
          <w:rFonts w:ascii="Times New Roman" w:hAnsi="Times New Roman"/>
          <w:sz w:val="24"/>
          <w:szCs w:val="24"/>
          <w:lang w:eastAsia="ru-RU"/>
        </w:rPr>
        <w:t xml:space="preserve">убъект МСП зарегистрирован или осуществляет деятельность на территории Тульской области;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3)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состо</w:t>
      </w:r>
      <w:r>
        <w:rPr>
          <w:rFonts w:ascii="Times New Roman" w:hAnsi="Times New Roman"/>
          <w:sz w:val="24"/>
          <w:szCs w:val="24"/>
          <w:lang w:eastAsia="ru-RU"/>
        </w:rPr>
        <w:t xml:space="preserve">янию на любую дату в течение периода, равного 30 календарным дням, предшествующего дате заключения договора Поручительства, отсутствует просроченная задолженность по налогам, сборам и иным обязательным платежам в бюджеты бюджетной системы Российской Федера</w:t>
      </w:r>
      <w:r>
        <w:rPr>
          <w:rFonts w:ascii="Times New Roman" w:hAnsi="Times New Roman"/>
          <w:sz w:val="24"/>
          <w:szCs w:val="24"/>
          <w:lang w:eastAsia="ru-RU"/>
        </w:rPr>
        <w:t xml:space="preserve">ции, превышающая 50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) </w:t>
      </w:r>
      <w:r>
        <w:rPr>
          <w:rFonts w:ascii="Times New Roman" w:hAnsi="Times New Roman"/>
          <w:sz w:val="24"/>
          <w:szCs w:val="24"/>
          <w:lang w:eastAsia="ru-RU"/>
        </w:rPr>
        <w:t xml:space="preserve">на дату подачи заявки на предоставление Поручительства отсутствует задолженность перед работниками (персоналом) по заработной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плате </w:t>
      </w:r>
      <w:r>
        <w:rPr>
          <w:rFonts w:ascii="Times New Roman" w:hAnsi="Times New Roman"/>
          <w:sz w:val="24"/>
          <w:szCs w:val="24"/>
          <w:lang w:eastAsia="ru-RU"/>
        </w:rPr>
        <w:t xml:space="preserve">более трех месяцев;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не является</w:t>
      </w:r>
      <w:r>
        <w:rPr>
          <w:rFonts w:ascii="Times New Roman" w:hAnsi="Times New Roman"/>
          <w:sz w:val="24"/>
          <w:szCs w:val="24"/>
        </w:rPr>
        <w:t xml:space="preserve">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) 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  договорами Российской Федерации;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 xml:space="preserve">субъект МСП</w:t>
      </w:r>
      <w:r>
        <w:rPr>
          <w:rFonts w:ascii="Times New Roman" w:hAnsi="Times New Roman"/>
          <w:sz w:val="24"/>
          <w:szCs w:val="24"/>
        </w:rPr>
        <w:t xml:space="preserve"> и (или) его участники (акционеры) и (или) </w:t>
      </w:r>
      <w:r>
        <w:rPr>
          <w:rFonts w:ascii="Times New Roman" w:hAnsi="Times New Roman"/>
          <w:sz w:val="24"/>
          <w:szCs w:val="24"/>
        </w:rPr>
        <w:t xml:space="preserve">аффилированные </w:t>
      </w:r>
      <w:r>
        <w:rPr>
          <w:rFonts w:ascii="Times New Roman" w:hAnsi="Times New Roman"/>
          <w:sz w:val="24"/>
          <w:szCs w:val="24"/>
        </w:rPr>
        <w:t xml:space="preserve">лица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Поручительству;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) ранее в отношении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не было принято решение об оказании аналогичной поддержки (поддержки, условия оказания, которой совпадают, включая форму, вид поддержки и цели ее оказания), и</w:t>
      </w:r>
      <w:r>
        <w:rPr>
          <w:rFonts w:ascii="Times New Roman" w:hAnsi="Times New Roman"/>
          <w:sz w:val="24"/>
          <w:szCs w:val="24"/>
        </w:rPr>
        <w:t xml:space="preserve"> сроки ее оказания не истекли; </w:t>
      </w:r>
      <w:r/>
    </w:p>
    <w:p>
      <w:pPr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</w:rPr>
        <w:t xml:space="preserve">            </w:t>
      </w:r>
      <w:r>
        <w:rPr>
          <w:rFonts w:ascii="Times New Roman" w:hAnsi="Times New Roman" w:eastAsiaTheme="minorHAnsi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9) с даты признания субъекта МСП совершившим нарушение порядка и условий оказания поддержки прошло </w:t>
      </w:r>
      <w:r>
        <w:rPr>
          <w:rFonts w:ascii="Times New Roman" w:hAnsi="Times New Roman" w:eastAsiaTheme="minorHAnsi"/>
          <w:sz w:val="24"/>
          <w:szCs w:val="24"/>
        </w:rPr>
        <w:t xml:space="preserve">не </w:t>
      </w:r>
      <w:r>
        <w:rPr>
          <w:rFonts w:ascii="Times New Roman" w:hAnsi="Times New Roman" w:eastAsiaTheme="minorHAnsi"/>
          <w:sz w:val="24"/>
          <w:szCs w:val="24"/>
        </w:rPr>
        <w:t xml:space="preserve">менее одного года, за исключением случая более раннего устранения субъектом малого или среднего предпринима</w:t>
      </w:r>
      <w:r>
        <w:rPr>
          <w:rFonts w:ascii="Times New Roman" w:hAnsi="Times New Roman" w:eastAsiaTheme="minorHAnsi"/>
          <w:sz w:val="24"/>
          <w:szCs w:val="24"/>
        </w:rPr>
        <w:t xml:space="preserve">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</w:t>
      </w:r>
      <w:r>
        <w:rPr>
          <w:rFonts w:ascii="Times New Roman" w:hAnsi="Times New Roman" w:eastAsiaTheme="minorHAnsi"/>
          <w:sz w:val="24"/>
          <w:szCs w:val="24"/>
        </w:rPr>
        <w:t xml:space="preserve"> поддержки или представлением недостоверных сведений и документов, </w:t>
      </w:r>
      <w:r>
        <w:rPr>
          <w:rFonts w:ascii="Times New Roman" w:hAnsi="Times New Roman" w:eastAsiaTheme="minorHAnsi"/>
          <w:sz w:val="24"/>
          <w:szCs w:val="24"/>
        </w:rPr>
        <w:t xml:space="preserve">с даты признания</w:t>
      </w:r>
      <w:r>
        <w:rPr>
          <w:rFonts w:ascii="Times New Roman" w:hAnsi="Times New Roman" w:eastAsiaTheme="minorHAnsi"/>
          <w:sz w:val="24"/>
          <w:szCs w:val="24"/>
        </w:rPr>
        <w:t xml:space="preserve"> субъекта малого или среднего предпринимательства совершившим такое нарушение прошло </w:t>
      </w:r>
      <w:r>
        <w:rPr>
          <w:rFonts w:ascii="Times New Roman" w:hAnsi="Times New Roman" w:eastAsiaTheme="minorHAnsi"/>
          <w:sz w:val="24"/>
          <w:szCs w:val="24"/>
        </w:rPr>
        <w:t xml:space="preserve">не </w:t>
      </w:r>
      <w:r>
        <w:rPr>
          <w:rFonts w:ascii="Times New Roman" w:hAnsi="Times New Roman" w:eastAsiaTheme="minorHAnsi"/>
          <w:sz w:val="24"/>
          <w:szCs w:val="24"/>
        </w:rPr>
        <w:t xml:space="preserve">менее трех лет. Положения, предусмотренные настоящим </w:t>
      </w:r>
      <w:r>
        <w:rPr>
          <w:rFonts w:ascii="Times New Roman" w:hAnsi="Times New Roman" w:eastAsiaTheme="minorHAnsi"/>
          <w:sz w:val="24"/>
          <w:szCs w:val="24"/>
        </w:rPr>
        <w:t xml:space="preserve">под</w:t>
      </w:r>
      <w:r>
        <w:rPr>
          <w:rFonts w:ascii="Times New Roman" w:hAnsi="Times New Roman" w:eastAsiaTheme="minorHAnsi"/>
          <w:sz w:val="24"/>
          <w:szCs w:val="24"/>
        </w:rPr>
        <w:t xml:space="preserve">пунктом, распространяются на виды поддержки, в отношении которых органом или организацией, </w:t>
      </w:r>
      <w:r>
        <w:rPr>
          <w:rFonts w:ascii="Times New Roman" w:hAnsi="Times New Roman" w:eastAsiaTheme="minorHAnsi"/>
          <w:sz w:val="24"/>
          <w:szCs w:val="24"/>
        </w:rPr>
        <w:t xml:space="preserve">оказавшими</w:t>
      </w:r>
      <w:r>
        <w:rPr>
          <w:rFonts w:ascii="Times New Roman" w:hAnsi="Times New Roman" w:eastAsiaTheme="minorHAnsi"/>
          <w:sz w:val="24"/>
          <w:szCs w:val="24"/>
        </w:rPr>
        <w:t xml:space="preserve"> поддержку, выявлены нарушения субъектом малого или среднего предпринимательства порядка и условий оказания поддержки</w:t>
      </w:r>
      <w:r>
        <w:rPr>
          <w:rFonts w:ascii="Times New Roman" w:hAnsi="Times New Roman" w:eastAsiaTheme="minorHAnsi"/>
          <w:sz w:val="24"/>
          <w:szCs w:val="24"/>
        </w:rPr>
        <w:t xml:space="preserve">;</w:t>
      </w:r>
      <w:r/>
    </w:p>
    <w:p>
      <w:pPr>
        <w:pStyle w:val="6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) не наблюдается невыполнение условий оказания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№ 209-ФЗ</w:t>
      </w:r>
      <w:r>
        <w:rPr>
          <w:rFonts w:ascii="Times New Roman" w:hAnsi="Times New Roman"/>
          <w:sz w:val="24"/>
          <w:szCs w:val="24"/>
        </w:rPr>
        <w:t xml:space="preserve">; 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) в отношении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</w:t>
      </w:r>
      <w:r>
        <w:rPr>
          <w:rFonts w:ascii="Times New Roman" w:hAnsi="Times New Roman"/>
          <w:sz w:val="24"/>
          <w:szCs w:val="24"/>
          <w:lang w:eastAsia="ru-RU"/>
        </w:rPr>
        <w:t xml:space="preserve">еняются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</w:t>
      </w:r>
      <w:r>
        <w:rPr>
          <w:rFonts w:ascii="Times New Roman" w:hAnsi="Times New Roman"/>
          <w:sz w:val="24"/>
          <w:szCs w:val="24"/>
          <w:lang w:eastAsia="ru-RU"/>
        </w:rPr>
        <w:t xml:space="preserve">);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1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не находится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стадии ликвидации, реорганизации;</w:t>
      </w:r>
      <w:r/>
    </w:p>
    <w:p>
      <w:pPr>
        <w:pStyle w:val="679"/>
        <w:jc w:val="both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) не осуществляет предпринимательскую деятельность в сфере </w:t>
      </w:r>
      <w:r>
        <w:rPr>
          <w:rFonts w:ascii="Times New Roman" w:hAnsi="Times New Roman"/>
          <w:sz w:val="24"/>
          <w:szCs w:val="24"/>
        </w:rPr>
        <w:t xml:space="preserve">игорного</w:t>
      </w:r>
      <w:r>
        <w:rPr>
          <w:rFonts w:ascii="Times New Roman" w:hAnsi="Times New Roman"/>
          <w:sz w:val="24"/>
          <w:szCs w:val="24"/>
        </w:rPr>
        <w:t xml:space="preserve"> бизнеса;</w:t>
      </w:r>
      <w:r/>
    </w:p>
    <w:p>
      <w:pPr>
        <w:jc w:val="both"/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1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) комплексный анализ деловой репутации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по Обеспечиваемому обязательству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отрицательная </w:t>
      </w:r>
      <w:r>
        <w:rPr>
          <w:rFonts w:ascii="Times New Roman" w:hAnsi="Times New Roman"/>
          <w:sz w:val="24"/>
          <w:szCs w:val="24"/>
        </w:rPr>
        <w:t xml:space="preserve">деловая репутация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и его аффилированных лиц.</w:t>
      </w:r>
      <w:r/>
    </w:p>
    <w:p>
      <w:pPr>
        <w:pStyle w:val="67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Под отрицательной деловой репутацией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и его аффилированных лиц понимается негативная оценка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68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Style w:val="68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его </w:t>
      </w:r>
      <w:r>
        <w:rPr>
          <w:rFonts w:ascii="Times New Roman" w:hAnsi="Times New Roman"/>
          <w:sz w:val="24"/>
          <w:szCs w:val="24"/>
        </w:rPr>
        <w:t xml:space="preserve">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68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68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точки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68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зрения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68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Style w:val="68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деловых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68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качеств.</w:t>
      </w:r>
      <w:r/>
    </w:p>
    <w:p>
      <w:pPr>
        <w:ind w:firstLine="54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Показатели</w:t>
      </w:r>
      <w:r>
        <w:rPr>
          <w:rFonts w:ascii="Times New Roman" w:hAnsi="Times New Roman"/>
          <w:sz w:val="24"/>
          <w:szCs w:val="24"/>
        </w:rPr>
        <w:t xml:space="preserve"> отрицательной деловой репу</w:t>
      </w:r>
      <w:r>
        <w:rPr>
          <w:rFonts w:ascii="Times New Roman" w:hAnsi="Times New Roman"/>
          <w:sz w:val="24"/>
          <w:szCs w:val="24"/>
        </w:rPr>
        <w:t xml:space="preserve">тации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т.ч</w:t>
      </w:r>
      <w:r>
        <w:rPr>
          <w:rFonts w:ascii="Times New Roman" w:hAnsi="Times New Roman"/>
          <w:sz w:val="24"/>
          <w:szCs w:val="24"/>
        </w:rPr>
        <w:t xml:space="preserve">., но не исключительно: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</w:t>
      </w:r>
      <w:r>
        <w:rPr>
          <w:rFonts w:ascii="Times New Roman" w:hAnsi="Times New Roman"/>
          <w:sz w:val="24"/>
          <w:szCs w:val="24"/>
        </w:rPr>
        <w:t xml:space="preserve">субъекте МСП</w:t>
      </w:r>
      <w:r>
        <w:rPr>
          <w:rFonts w:ascii="Times New Roman" w:hAnsi="Times New Roman"/>
          <w:sz w:val="24"/>
          <w:szCs w:val="24"/>
        </w:rPr>
        <w:t xml:space="preserve"> в реестре недобросовестных поставщиков (подрядчиков, исполнителей);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</w:t>
      </w:r>
      <w:r>
        <w:rPr>
          <w:rFonts w:ascii="Times New Roman" w:hAnsi="Times New Roman"/>
          <w:sz w:val="24"/>
          <w:szCs w:val="24"/>
        </w:rPr>
        <w:t xml:space="preserve">субъекте МСП</w:t>
      </w:r>
      <w:r>
        <w:rPr>
          <w:rFonts w:ascii="Times New Roman" w:hAnsi="Times New Roman"/>
          <w:sz w:val="24"/>
          <w:szCs w:val="24"/>
        </w:rPr>
        <w:t xml:space="preserve"> и (или) его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 в реестре дисквалифицированных лиц по данным Федеральной налоговой службы Российской Федерации;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недействительности паспорта </w:t>
      </w:r>
      <w:r>
        <w:rPr>
          <w:rFonts w:ascii="Times New Roman" w:hAnsi="Times New Roman"/>
          <w:sz w:val="24"/>
          <w:szCs w:val="24"/>
        </w:rPr>
        <w:t xml:space="preserve">субъекте МСП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(применительно к индивидуальным предпринимателям, </w:t>
      </w:r>
      <w:r>
        <w:rPr>
          <w:rFonts w:ascii="Times New Roman" w:hAnsi="Times New Roman"/>
          <w:sz w:val="24"/>
          <w:szCs w:val="24"/>
        </w:rPr>
        <w:t xml:space="preserve">самозанятым</w:t>
      </w:r>
      <w:r>
        <w:rPr>
          <w:rFonts w:ascii="Times New Roman" w:hAnsi="Times New Roman"/>
          <w:sz w:val="24"/>
          <w:szCs w:val="24"/>
        </w:rPr>
        <w:t xml:space="preserve"> гражданам), </w:t>
      </w:r>
      <w:r>
        <w:rPr>
          <w:rStyle w:val="68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единоличного исполнительного органа,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владельцев по данным сайта Государственного управления по вопросам миграции МВД России;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процедурах банкротства  в отношении 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Клиента</w:t>
      </w:r>
      <w:r>
        <w:rPr>
          <w:rFonts w:ascii="Times New Roman" w:hAnsi="Times New Roman"/>
          <w:sz w:val="24"/>
          <w:szCs w:val="24"/>
        </w:rPr>
        <w:t xml:space="preserve"> за последние 5 (пять) лет, 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случае, если состав участников (акционеров) аффилированных лиц совпадает с составом участников (акционеров) Клиента или их доля участия составляет 50  и более процентов;</w:t>
      </w:r>
      <w:r>
        <w:rPr>
          <w:rFonts w:ascii="Times New Roman" w:hAnsi="Times New Roman"/>
          <w:sz w:val="24"/>
          <w:szCs w:val="24"/>
        </w:rPr>
        <w:t xml:space="preserve"> 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в производстве арбитражных судов исковых заявлений о взыскании с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задолженности, решений судов о взыскании с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денежных средств, а также текущих исполнительных производств на общую сумму более 15% балансовой стоимости активов для юридических лиц и 20% среднемесячной суммы выручки за последние 12  месяцев для индивидуальных предпринимателей и </w:t>
      </w:r>
      <w:r>
        <w:rPr>
          <w:rFonts w:ascii="Times New Roman" w:hAnsi="Times New Roman"/>
          <w:sz w:val="24"/>
          <w:szCs w:val="24"/>
        </w:rPr>
        <w:t xml:space="preserve">самозанятых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Style w:val="695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не является иностранным агентом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Поручительство Фонда </w:t>
      </w:r>
      <w:r>
        <w:rPr>
          <w:rFonts w:ascii="Times New Roman" w:hAnsi="Times New Roman"/>
          <w:sz w:val="24"/>
          <w:szCs w:val="24"/>
        </w:rPr>
        <w:t xml:space="preserve">в рамках Механизма </w:t>
      </w:r>
      <w:r>
        <w:rPr>
          <w:rFonts w:ascii="Times New Roman" w:hAnsi="Times New Roman"/>
          <w:sz w:val="24"/>
          <w:szCs w:val="24"/>
        </w:rPr>
        <w:t xml:space="preserve">не предоставляется в случае, если: 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1) </w:t>
      </w:r>
      <w:r>
        <w:rPr>
          <w:rFonts w:ascii="Times New Roman" w:hAnsi="Times New Roman"/>
          <w:sz w:val="24"/>
          <w:szCs w:val="24"/>
        </w:rPr>
        <w:t xml:space="preserve">субъект МСП</w:t>
      </w:r>
      <w:r>
        <w:rPr>
          <w:rFonts w:ascii="Times New Roman" w:hAnsi="Times New Roman"/>
          <w:sz w:val="24"/>
          <w:szCs w:val="24"/>
        </w:rPr>
        <w:t xml:space="preserve"> не соответствует хотя бы одному из перечисленных в п. 2.1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 настоящего Регламента критериев.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pStyle w:val="67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Заявка на получение Поручительства Фонда не соответствует </w:t>
      </w:r>
      <w:r>
        <w:rPr>
          <w:rFonts w:ascii="Times New Roman" w:hAnsi="Times New Roman"/>
          <w:sz w:val="24"/>
          <w:szCs w:val="24"/>
        </w:rPr>
        <w:t xml:space="preserve">какому-либо</w:t>
      </w:r>
      <w:r>
        <w:rPr>
          <w:rFonts w:ascii="Times New Roman" w:hAnsi="Times New Roman"/>
          <w:sz w:val="24"/>
          <w:szCs w:val="24"/>
        </w:rPr>
        <w:t xml:space="preserve"> из условий её оказания в рамках Механизма, оговоренным в разделе 2.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астоящего Регламента.</w:t>
      </w:r>
      <w:r/>
    </w:p>
    <w:p>
      <w:pPr>
        <w:pStyle w:val="67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3) Банком-партнером н</w:t>
      </w:r>
      <w:r>
        <w:rPr>
          <w:rFonts w:ascii="Times New Roman" w:hAnsi="Times New Roman"/>
          <w:sz w:val="24"/>
          <w:szCs w:val="24"/>
        </w:rPr>
        <w:t xml:space="preserve">е представлен</w:t>
      </w:r>
      <w:r>
        <w:rPr>
          <w:rFonts w:ascii="Times New Roman" w:hAnsi="Times New Roman"/>
          <w:sz w:val="24"/>
          <w:szCs w:val="24"/>
        </w:rPr>
        <w:t xml:space="preserve"> необходимый и</w:t>
      </w:r>
      <w:r>
        <w:rPr>
          <w:rFonts w:ascii="Times New Roman" w:hAnsi="Times New Roman"/>
          <w:sz w:val="24"/>
          <w:szCs w:val="24"/>
        </w:rPr>
        <w:t xml:space="preserve"> определенны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настоящим Регламентом</w:t>
      </w:r>
      <w:r>
        <w:rPr>
          <w:rFonts w:ascii="Times New Roman" w:hAnsi="Times New Roman"/>
          <w:sz w:val="24"/>
          <w:szCs w:val="24"/>
        </w:rPr>
        <w:t xml:space="preserve"> пакет документов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pStyle w:val="6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2.1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Заявки, не соответствующие какому-либо </w:t>
      </w:r>
      <w:r>
        <w:rPr>
          <w:rFonts w:ascii="Times New Roman" w:hAnsi="Times New Roman"/>
          <w:sz w:val="24"/>
          <w:szCs w:val="24"/>
        </w:rPr>
        <w:t xml:space="preserve">условию, установленному Корпорацией при допуске Банка-партнера к Механизму и (или) настоящему Регламенту, рассматриваются Фондом с проведением полной оценки кредитоспособности Заемщика и анализа кредитного риска в соответствии с Основным Регламентом Фонда.</w:t>
      </w:r>
      <w:r>
        <w:rPr>
          <w:rFonts w:ascii="Times New Roman" w:hAnsi="Times New Roman"/>
          <w:sz w:val="24"/>
          <w:szCs w:val="24"/>
        </w:rPr>
        <w:t xml:space="preserve">  </w:t>
      </w:r>
      <w:r/>
    </w:p>
    <w:p>
      <w:pPr>
        <w:pStyle w:val="67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рамках предоставления поручительства Фонда  </w:t>
      </w:r>
      <w:r>
        <w:rPr>
          <w:rFonts w:ascii="Times New Roman" w:hAnsi="Times New Roman"/>
          <w:sz w:val="24"/>
          <w:szCs w:val="24"/>
        </w:rPr>
        <w:t xml:space="preserve">по обязательствам субъектов МСП, основанных на Кредитных договорах, Договорах о предоставлении гарантии с использованием Механизма</w:t>
      </w:r>
      <w:r>
        <w:rPr>
          <w:rFonts w:ascii="Times New Roman" w:hAnsi="Times New Roman"/>
          <w:sz w:val="24"/>
          <w:szCs w:val="24"/>
        </w:rPr>
        <w:t xml:space="preserve"> Клиент не предоставляет Фонду дополнительное обеспечение (залог/поручительство)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674"/>
        <w:numPr>
          <w:ilvl w:val="0"/>
          <w:numId w:val="1"/>
        </w:numPr>
        <w:ind w:left="0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Порядок прохождения и согласования в Фонде Заявки на получение Поручительства Фонда в рамках Механизма: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поступлении Заявки на получение Поручительства Фонда в рамках Механизма, Фонд проводит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следующие действия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/>
    </w:p>
    <w:p>
      <w:pPr>
        <w:pStyle w:val="67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егистрацию </w:t>
      </w:r>
      <w:r>
        <w:rPr>
          <w:rFonts w:ascii="Times New Roman" w:hAnsi="Times New Roman"/>
          <w:sz w:val="24"/>
          <w:szCs w:val="24"/>
          <w:lang w:eastAsia="ru-RU"/>
        </w:rPr>
        <w:t xml:space="preserve">Заявки в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полном соответствии с Основным Регламентом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pStyle w:val="67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оценку предоставленных документов в составе Заявки на соответствие и комплектность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pStyle w:val="67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оценку соответствия параметров направленной в рамках Механизма Заявки условиям, установленным в решении Правления Корпорации о допуске Банка-партнера к Механизму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настоящему Регламенту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pStyle w:val="67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проверку в отношении поступивш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аяв</w:t>
      </w:r>
      <w:r>
        <w:rPr>
          <w:rFonts w:ascii="Times New Roman" w:hAnsi="Times New Roman"/>
          <w:sz w:val="24"/>
          <w:szCs w:val="24"/>
        </w:rPr>
        <w:t xml:space="preserve">ки</w:t>
      </w:r>
      <w:r>
        <w:rPr>
          <w:rFonts w:ascii="Times New Roman" w:hAnsi="Times New Roman"/>
          <w:sz w:val="24"/>
          <w:szCs w:val="24"/>
        </w:rPr>
        <w:t xml:space="preserve"> правоспособности </w:t>
      </w:r>
      <w:r>
        <w:rPr>
          <w:rFonts w:ascii="Times New Roman" w:hAnsi="Times New Roman"/>
          <w:sz w:val="24"/>
          <w:szCs w:val="24"/>
        </w:rPr>
        <w:t xml:space="preserve">субъект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МСП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 xml:space="preserve">проверку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деловой репутации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При рассмотрении Заявок в рамках Механизма </w:t>
      </w:r>
      <w:r>
        <w:rPr>
          <w:rFonts w:ascii="Times New Roman" w:hAnsi="Times New Roman"/>
          <w:sz w:val="24"/>
          <w:szCs w:val="24"/>
        </w:rPr>
        <w:t xml:space="preserve">Фондом не </w:t>
      </w:r>
      <w:r>
        <w:rPr>
          <w:rFonts w:ascii="Times New Roman" w:hAnsi="Times New Roman"/>
          <w:sz w:val="24"/>
          <w:szCs w:val="24"/>
        </w:rPr>
        <w:t xml:space="preserve">осуществляет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выезд по указанному в Заявке месту осуществления деятельности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, а также оценка финансового положения, анализ кредитоспособности Заемщика и анализ кредитных </w:t>
      </w:r>
      <w:r>
        <w:rPr>
          <w:rFonts w:ascii="Times New Roman" w:hAnsi="Times New Roman"/>
          <w:sz w:val="24"/>
          <w:szCs w:val="24"/>
        </w:rPr>
        <w:t xml:space="preserve">рисков</w:t>
      </w:r>
      <w:r>
        <w:rPr>
          <w:rFonts w:ascii="Times New Roman" w:hAnsi="Times New Roman"/>
          <w:sz w:val="24"/>
          <w:szCs w:val="24"/>
        </w:rPr>
        <w:t xml:space="preserve"> по нему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79"/>
        <w:jc w:val="both"/>
        <w:spacing w:after="0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 xml:space="preserve">Сотрудник  отдела по правовой работе (за исключением специалиста по информационной безопасности) </w:t>
      </w:r>
      <w:r>
        <w:rPr>
          <w:rFonts w:ascii="Times New Roman" w:hAnsi="Times New Roman"/>
          <w:sz w:val="24"/>
          <w:szCs w:val="24"/>
        </w:rPr>
        <w:t xml:space="preserve">составляет свое заключение по типовой форме</w:t>
      </w:r>
      <w:r>
        <w:rPr>
          <w:rFonts w:ascii="Times New Roman" w:hAnsi="Times New Roman"/>
          <w:sz w:val="24"/>
          <w:szCs w:val="24"/>
        </w:rPr>
        <w:t xml:space="preserve">, предусмотренной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Основным  Регламентом</w:t>
      </w:r>
      <w:r>
        <w:rPr>
          <w:rFonts w:ascii="Times New Roman" w:hAnsi="Times New Roman"/>
          <w:sz w:val="24"/>
          <w:szCs w:val="24"/>
        </w:rPr>
        <w:t xml:space="preserve">, где делает письменный вывод о правоспособности </w:t>
      </w:r>
      <w:r>
        <w:rPr>
          <w:rFonts w:ascii="Times New Roman" w:hAnsi="Times New Roman"/>
          <w:sz w:val="24"/>
          <w:szCs w:val="24"/>
        </w:rPr>
        <w:t xml:space="preserve">и деловой репутации </w:t>
      </w:r>
      <w:r>
        <w:rPr>
          <w:rFonts w:ascii="Times New Roman" w:hAnsi="Times New Roman"/>
          <w:sz w:val="24"/>
          <w:szCs w:val="24"/>
        </w:rPr>
        <w:t xml:space="preserve">Заемщика,</w:t>
      </w:r>
      <w:r>
        <w:rPr>
          <w:rFonts w:ascii="Times New Roman" w:hAnsi="Times New Roman"/>
          <w:sz w:val="24"/>
          <w:szCs w:val="24"/>
        </w:rPr>
        <w:t xml:space="preserve"> а также формирует</w:t>
      </w:r>
      <w:r>
        <w:rPr>
          <w:rFonts w:ascii="Times New Roman" w:hAnsi="Times New Roman"/>
          <w:sz w:val="24"/>
          <w:szCs w:val="24"/>
        </w:rPr>
        <w:t xml:space="preserve"> выписку из ЕГРЮЛ/ЕГРИП, выписку из Единого реестра субъектов МСП,</w:t>
      </w:r>
      <w:r>
        <w:rPr>
          <w:rFonts w:ascii="Times New Roman" w:hAnsi="Times New Roman"/>
          <w:sz w:val="24"/>
          <w:szCs w:val="24"/>
        </w:rPr>
        <w:t xml:space="preserve"> экспресс-отчет из специальной программы, предназначенной для проверки и получения </w:t>
      </w:r>
      <w:r>
        <w:rPr>
          <w:rFonts w:ascii="Times New Roman" w:hAnsi="Times New Roman"/>
          <w:sz w:val="24"/>
          <w:szCs w:val="24"/>
        </w:rPr>
        <w:t xml:space="preserve">систематизированной информации в отношении  юридических лиц</w:t>
      </w:r>
      <w:r>
        <w:rPr>
          <w:rFonts w:ascii="Times New Roman" w:hAnsi="Times New Roman"/>
          <w:sz w:val="24"/>
          <w:szCs w:val="24"/>
        </w:rPr>
        <w:t xml:space="preserve"> и его</w:t>
      </w:r>
      <w:r>
        <w:rPr>
          <w:rFonts w:ascii="Times New Roman" w:hAnsi="Times New Roman"/>
          <w:sz w:val="24"/>
          <w:szCs w:val="24"/>
        </w:rPr>
        <w:t xml:space="preserve"> участников (акционеров)</w:t>
      </w:r>
      <w:r>
        <w:rPr>
          <w:rFonts w:ascii="Times New Roman" w:hAnsi="Times New Roman"/>
          <w:sz w:val="24"/>
          <w:szCs w:val="24"/>
        </w:rPr>
        <w:t xml:space="preserve"> с долей участия более 20% в капитале </w:t>
      </w:r>
      <w:r>
        <w:rPr>
          <w:rFonts w:ascii="Times New Roman" w:hAnsi="Times New Roman"/>
          <w:sz w:val="24"/>
          <w:szCs w:val="24"/>
        </w:rPr>
        <w:t xml:space="preserve">Заемщика</w:t>
      </w:r>
      <w:r>
        <w:rPr>
          <w:rFonts w:ascii="Times New Roman" w:hAnsi="Times New Roman"/>
          <w:sz w:val="24"/>
          <w:szCs w:val="24"/>
        </w:rPr>
        <w:t xml:space="preserve"> (при наличии технической возможности  формирования отчета в отношении физических лиц)</w:t>
      </w:r>
      <w:r>
        <w:rPr>
          <w:rFonts w:ascii="Times New Roman" w:hAnsi="Times New Roman"/>
          <w:sz w:val="24"/>
          <w:szCs w:val="24"/>
        </w:rPr>
        <w:t xml:space="preserve"> и индивидуальных предпринимателей (Контур-Фокус, </w:t>
      </w:r>
      <w:r>
        <w:rPr>
          <w:rFonts w:ascii="Times New Roman" w:hAnsi="Times New Roman"/>
          <w:sz w:val="24"/>
          <w:szCs w:val="24"/>
        </w:rPr>
        <w:t xml:space="preserve">Дельтабезопасность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СПАРК или другие).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отдела по правовой работе проверяет наличие или отсутствие Заемщика с </w:t>
      </w:r>
      <w:r>
        <w:rPr>
          <w:rFonts w:ascii="Times New Roman" w:hAnsi="Times New Roman"/>
          <w:sz w:val="24"/>
          <w:szCs w:val="24"/>
          <w:lang w:eastAsia="ru-RU"/>
        </w:rPr>
        <w:t xml:space="preserve">реестре</w:t>
      </w:r>
      <w:r>
        <w:rPr>
          <w:rFonts w:ascii="Times New Roman" w:hAnsi="Times New Roman"/>
          <w:sz w:val="24"/>
          <w:szCs w:val="24"/>
          <w:lang w:eastAsia="ru-RU"/>
        </w:rPr>
        <w:t xml:space="preserve"> иностранных агентов.</w:t>
      </w:r>
      <w:r/>
    </w:p>
    <w:p>
      <w:pPr>
        <w:pStyle w:val="67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Сотрудник</w:t>
      </w:r>
      <w:r>
        <w:rPr>
          <w:rFonts w:ascii="Times New Roman" w:hAnsi="Times New Roman"/>
          <w:sz w:val="24"/>
          <w:szCs w:val="24"/>
        </w:rPr>
        <w:t xml:space="preserve">и Фонда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заполняют </w:t>
      </w:r>
      <w:r>
        <w:rPr>
          <w:rFonts w:ascii="Times New Roman" w:hAnsi="Times New Roman"/>
          <w:sz w:val="24"/>
          <w:szCs w:val="24"/>
        </w:rPr>
        <w:t xml:space="preserve">формуляр - </w:t>
      </w:r>
      <w:r>
        <w:rPr>
          <w:rFonts w:ascii="Times New Roman" w:hAnsi="Times New Roman"/>
          <w:sz w:val="24"/>
          <w:szCs w:val="24"/>
        </w:rPr>
        <w:t xml:space="preserve">Проверк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соответствия условиям предоставления Поручительства Фонда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к настоящему Регламенту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79"/>
        <w:ind w:firstLine="709"/>
        <w:jc w:val="both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</w:t>
      </w:r>
      <w:r>
        <w:rPr>
          <w:rFonts w:ascii="Times New Roman" w:hAnsi="Times New Roman"/>
          <w:sz w:val="24"/>
          <w:szCs w:val="24"/>
          <w:lang w:eastAsia="ru-RU"/>
        </w:rPr>
        <w:t xml:space="preserve"> отдела предоставления гарантий проверяет Заемщика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наличи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/отсутстви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в списке </w:t>
      </w:r>
      <w:r>
        <w:rPr>
          <w:rFonts w:ascii="Times New Roman" w:hAnsi="Times New Roman"/>
          <w:sz w:val="24"/>
          <w:szCs w:val="24"/>
          <w:lang w:eastAsia="ru-RU"/>
        </w:rPr>
        <w:t xml:space="preserve">недобросовестных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получателей государственной поддержки и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факт присоединения к областному трёхстороннему соглашению между Правительством Тульской области, Тульской Федерации профсоюзов и Тульским областным союзом работодателей и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формирует соответствующ</w:t>
      </w:r>
      <w:r>
        <w:rPr>
          <w:rFonts w:ascii="Times New Roman" w:hAnsi="Times New Roman"/>
          <w:sz w:val="24"/>
          <w:szCs w:val="24"/>
          <w:lang w:eastAsia="ru-RU"/>
        </w:rPr>
        <w:t xml:space="preserve">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справку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выписку из </w:t>
      </w:r>
      <w:r>
        <w:rPr>
          <w:rFonts w:ascii="Times New Roman" w:hAnsi="Times New Roman"/>
          <w:sz w:val="24"/>
          <w:szCs w:val="24"/>
        </w:rPr>
        <w:t xml:space="preserve">Единого реестра субъектов МСП-получателей поддержки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pStyle w:val="679"/>
        <w:ind w:firstLine="709"/>
        <w:jc w:val="both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67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сопровождения </w:t>
      </w:r>
      <w:r>
        <w:rPr>
          <w:rFonts w:ascii="Times New Roman" w:hAnsi="Times New Roman"/>
          <w:b/>
          <w:sz w:val="24"/>
          <w:szCs w:val="24"/>
        </w:rPr>
        <w:t xml:space="preserve">и мониторинга портфеля </w:t>
      </w:r>
      <w:r>
        <w:rPr>
          <w:rFonts w:ascii="Times New Roman" w:hAnsi="Times New Roman"/>
          <w:b/>
          <w:sz w:val="24"/>
          <w:szCs w:val="24"/>
        </w:rPr>
        <w:t xml:space="preserve">Поручительств Фонда, выданных </w:t>
      </w:r>
      <w:r>
        <w:rPr>
          <w:rFonts w:ascii="Times New Roman" w:hAnsi="Times New Roman"/>
          <w:b/>
          <w:sz w:val="24"/>
          <w:szCs w:val="24"/>
        </w:rPr>
        <w:t xml:space="preserve">с применением</w:t>
      </w:r>
      <w:r>
        <w:rPr>
          <w:rFonts w:ascii="Times New Roman" w:hAnsi="Times New Roman"/>
          <w:b/>
          <w:sz w:val="24"/>
          <w:szCs w:val="24"/>
        </w:rPr>
        <w:t xml:space="preserve"> Механизма:</w:t>
      </w:r>
      <w:r/>
    </w:p>
    <w:p>
      <w:pPr>
        <w:pStyle w:val="674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на ежеквартальной основе осуществляет мониторинг портфеля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действующих Поручительств </w:t>
      </w:r>
      <w:r>
        <w:rPr>
          <w:rFonts w:ascii="Times New Roman" w:hAnsi="Times New Roman"/>
          <w:sz w:val="24"/>
          <w:szCs w:val="24"/>
        </w:rPr>
        <w:t xml:space="preserve">Фонда</w:t>
      </w:r>
      <w:r>
        <w:rPr>
          <w:rFonts w:ascii="Times New Roman" w:hAnsi="Times New Roman"/>
          <w:sz w:val="24"/>
          <w:szCs w:val="24"/>
        </w:rPr>
        <w:t xml:space="preserve">, сформированного с применением Механизма,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части соблюдения требований по Целевой структуре рейтингов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Подсегмента</w:t>
      </w:r>
      <w:r>
        <w:rPr>
          <w:rFonts w:ascii="Times New Roman" w:hAnsi="Times New Roman"/>
          <w:sz w:val="24"/>
          <w:szCs w:val="24"/>
        </w:rPr>
        <w:t xml:space="preserve">, если такое требование было установлено решением Корпорации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допуске Банка-партнера к Механизму (путем </w:t>
      </w:r>
      <w:r>
        <w:rPr>
          <w:rFonts w:ascii="Times New Roman" w:hAnsi="Times New Roman"/>
          <w:sz w:val="24"/>
          <w:szCs w:val="24"/>
        </w:rPr>
        <w:t xml:space="preserve">соотнесения</w:t>
      </w:r>
      <w:r>
        <w:rPr>
          <w:rFonts w:ascii="Times New Roman" w:hAnsi="Times New Roman"/>
          <w:sz w:val="24"/>
          <w:szCs w:val="24"/>
        </w:rPr>
        <w:t xml:space="preserve"> на дату 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сумм действующих Поручительств по определенным рейтингам или группам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рейтингов к общему объему портфеля Поручительств).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Так для ПАО Сбербанк Корпорацией установлено требование соблюдения следующей Целевой структуры рейтингов</w:t>
      </w:r>
      <w:r>
        <w:rPr>
          <w:rFonts w:ascii="Times New Roman" w:hAnsi="Times New Roman"/>
          <w:sz w:val="24"/>
          <w:szCs w:val="24"/>
        </w:rPr>
        <w:t xml:space="preserve">:</w:t>
      </w:r>
      <w:r/>
    </w:p>
    <w:tbl>
      <w:tblPr>
        <w:tblW w:w="9794" w:type="dxa"/>
        <w:tblInd w:w="93" w:type="dxa"/>
        <w:tblLook w:val="04A0" w:firstRow="1" w:lastRow="0" w:firstColumn="1" w:lastColumn="0" w:noHBand="0" w:noVBand="1"/>
      </w:tblPr>
      <w:tblGrid>
        <w:gridCol w:w="4693"/>
        <w:gridCol w:w="4678"/>
        <w:gridCol w:w="423"/>
      </w:tblGrid>
      <w:tr>
        <w:trPr>
          <w:trHeight w:val="31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 Для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«Корпоративный бизнес» устанавливается следующая Целевая структура рейтингов: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 – 13 (срок до 120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14 (срок до 72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15 (срок до 36 мес. включительно)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60,0%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«1» – «13» (срок более 120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«14» (срок более 72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«15» (срок более 36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«16»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«17»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40,0%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9364" w:type="dxa"/>
        <w:tblInd w:w="100" w:type="dxa"/>
        <w:tblLook w:val="04A0" w:firstRow="1" w:lastRow="0" w:firstColumn="1" w:lastColumn="0" w:noHBand="0" w:noVBand="1"/>
      </w:tblPr>
      <w:tblGrid>
        <w:gridCol w:w="4686"/>
        <w:gridCol w:w="4678"/>
      </w:tblGrid>
      <w:tr>
        <w:trPr>
          <w:trHeight w:val="30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6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 Для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одсегмента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«Микро и Малый биз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нес» устанавливается следующая 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елевая структура рейтингов: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/>
          </w:p>
        </w:tc>
      </w:tr>
      <w:tr>
        <w:trPr>
          <w:trHeight w:val="6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1 - 12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13 - 14 (срок до 60 мес. включительно)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70,0%</w:t>
            </w:r>
            <w:r/>
          </w:p>
        </w:tc>
      </w:tr>
      <w:tr>
        <w:trPr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13 - 14 (срок более 60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15 - 17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30,0%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Для ПАО Банк «ФК Открытие» установлено требование соблюдения следующей Целевой структуры рейтингов: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подсегмента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Микробизнес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малый бизнес, средний бизнес» устанавливается следующая целевая структура рейтингов:</w:t>
      </w:r>
      <w:r/>
    </w:p>
    <w:tbl>
      <w:tblPr>
        <w:tblW w:w="9282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731"/>
        <w:gridCol w:w="2551"/>
      </w:tblGrid>
      <w:tr>
        <w:trPr>
          <w:jc w:val="center"/>
          <w:trHeight w:val="601"/>
        </w:trPr>
        <w:tc>
          <w:tcPr>
            <w:shd w:val="clear" w:color="000000" w:fill="ffffff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/>
          </w:p>
        </w:tc>
        <w:tc>
          <w:tcPr>
            <w:shd w:val="clear" w:color="000000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 – 14 (срок до 120 мес. включительно)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15 – 19 (срок до 36 мес. включительно)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75,0%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15 – 19 (срок более 36 и до 120 мес. включительно)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25,0%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Для Банка ВТБ (ПАО) установлено требование соблюдения следующей Целевой структуры рейтингов: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подсегмента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Стандартный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клиентского сегмента «Средний и малый бизнес»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устанавливается следующая целевая структура рейтингов:</w:t>
      </w:r>
      <w:r/>
    </w:p>
    <w:tbl>
      <w:tblPr>
        <w:tblW w:w="9282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731"/>
        <w:gridCol w:w="2551"/>
      </w:tblGrid>
      <w:tr>
        <w:trPr>
          <w:jc w:val="center"/>
          <w:trHeight w:val="601"/>
        </w:trPr>
        <w:tc>
          <w:tcPr>
            <w:shd w:val="clear" w:color="000000" w:fill="ffffff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/>
          </w:p>
        </w:tc>
        <w:tc>
          <w:tcPr>
            <w:shd w:val="clear" w:color="000000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B (срок более 24 мес., но не более 120 мес.)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не более 12 мес.)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80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%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 до 120 мес. включительно)</w:t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до 24 мес. включительно)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20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%</w:t>
            </w:r>
            <w:r/>
          </w:p>
        </w:tc>
      </w:tr>
    </w:tbl>
    <w:p>
      <w:pPr>
        <w:jc w:val="both"/>
        <w:spacing w:after="0" w:line="240" w:lineRule="auto"/>
        <w:tabs>
          <w:tab w:val="left" w:pos="125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Для АО «</w:t>
      </w:r>
      <w:r>
        <w:rPr>
          <w:rFonts w:ascii="Times New Roman" w:hAnsi="Times New Roman"/>
          <w:sz w:val="24"/>
          <w:szCs w:val="24"/>
        </w:rPr>
        <w:t xml:space="preserve">Россельхозбанк</w:t>
      </w:r>
      <w:r>
        <w:rPr>
          <w:rFonts w:ascii="Times New Roman" w:hAnsi="Times New Roman"/>
          <w:sz w:val="24"/>
          <w:szCs w:val="24"/>
        </w:rPr>
        <w:t xml:space="preserve">»  установлено требование соблюдения следующей Целевой структуры рейтингов:</w:t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tbl>
      <w:tblPr>
        <w:tblW w:w="9282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731"/>
        <w:gridCol w:w="2551"/>
      </w:tblGrid>
      <w:tr>
        <w:trPr>
          <w:jc w:val="center"/>
          <w:trHeight w:val="601"/>
        </w:trPr>
        <w:tc>
          <w:tcPr>
            <w:shd w:val="clear" w:color="000000" w:fill="ffffff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/>
          </w:p>
        </w:tc>
        <w:tc>
          <w:tcPr>
            <w:shd w:val="clear" w:color="000000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«1+» - «5+»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55%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«5» - «6»</w:t>
            </w:r>
            <w:r/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45%</w:t>
            </w:r>
            <w:r/>
          </w:p>
        </w:tc>
      </w:tr>
    </w:tbl>
    <w:p>
      <w:pPr>
        <w:jc w:val="both"/>
        <w:spacing w:after="0" w:line="240" w:lineRule="auto"/>
        <w:tabs>
          <w:tab w:val="left" w:pos="125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В случае выявления нарушения требований по Целевой структуре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рейтингов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уведомляет Банк-партнер и Корпорацию в срок не позднее 3 (трех)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рабочих дней с момента выявления нарушения.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В случае несоблюдения требований Целевой структуры рейтингов 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стороны Банка-партнера более трех кварталов подряд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вправе приостановить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взаимодействие с данным Банком-партнером по Механизму, </w:t>
      </w:r>
      <w:r>
        <w:rPr>
          <w:rFonts w:ascii="Times New Roman" w:hAnsi="Times New Roman"/>
          <w:sz w:val="24"/>
          <w:szCs w:val="24"/>
        </w:rPr>
        <w:t xml:space="preserve">уведомив о принятом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решении Банк-партнер и Корпорацию</w:t>
      </w:r>
      <w:r>
        <w:rPr>
          <w:rFonts w:ascii="Times New Roman" w:hAnsi="Times New Roman"/>
          <w:sz w:val="24"/>
          <w:szCs w:val="24"/>
        </w:rPr>
        <w:t xml:space="preserve"> в срок не позднее 3 (трех)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момента принятия такого решения.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Данное решение принимается директором Фонда и оформляется приказом.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проведения ежеквартального мониторинга качества портфеля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Поручительств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рассчитывает Фактический показатель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выданным Поручительствам в рамках Механизма</w:t>
      </w:r>
      <w:r>
        <w:rPr>
          <w:rFonts w:ascii="Times New Roman" w:hAnsi="Times New Roman"/>
          <w:sz w:val="24"/>
          <w:szCs w:val="24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расчета данного показателя  приведена в п. 2.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настоящего Регламента.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 xml:space="preserve">В случае превышения Фактического показателя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над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Максимальным уровнем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уведомляет Корпорацию и Банк-партнер в срок не позднее 3 (трех) рабочих дней с момента выявления 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превышения в целях принятия совместной стратегии по взаимодействию, включая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изменение параметров доступа Банка-партнера к Механизму (при необходимости).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.6. </w:t>
      </w:r>
      <w:r>
        <w:rPr>
          <w:rFonts w:ascii="Times New Roman" w:hAnsi="Times New Roman"/>
          <w:sz w:val="24"/>
          <w:szCs w:val="24"/>
        </w:rPr>
        <w:t xml:space="preserve">Корпорация предоставляет </w:t>
      </w:r>
      <w:r>
        <w:rPr>
          <w:rFonts w:ascii="Times New Roman" w:hAnsi="Times New Roman"/>
          <w:sz w:val="24"/>
          <w:szCs w:val="24"/>
        </w:rPr>
        <w:t xml:space="preserve">Фонду</w:t>
      </w:r>
      <w:r>
        <w:rPr>
          <w:rFonts w:ascii="Times New Roman" w:hAnsi="Times New Roman"/>
          <w:sz w:val="24"/>
          <w:szCs w:val="24"/>
        </w:rPr>
        <w:t xml:space="preserve"> информацию об условиях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ограничениях допуска Банков-партнеров к Механизму. Перечень условий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обязательном порядке включает в себя следующую информацию: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Название </w:t>
      </w:r>
      <w:r>
        <w:rPr>
          <w:rFonts w:ascii="Times New Roman" w:hAnsi="Times New Roman"/>
          <w:sz w:val="24"/>
          <w:szCs w:val="24"/>
        </w:rPr>
        <w:t xml:space="preserve">Подсегмента</w:t>
      </w:r>
      <w:r>
        <w:rPr>
          <w:rFonts w:ascii="Times New Roman" w:hAnsi="Times New Roman"/>
          <w:sz w:val="24"/>
          <w:szCs w:val="24"/>
        </w:rPr>
        <w:t xml:space="preserve"> и кредитных продуктов;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Название рейтинговой модели;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Граничные значения рейтингов (с учетом сроков обязательств, по которым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предоставляется независимая гарантия/Поручительство);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Целевая структура рейтингов (если была установлена);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Ожидаемые ставки потерь по допущенным к Механизму рейтингам (в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зависимости от срока кредитного обязательства, обеспеченного независимой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гарантией/Поручительством);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Требования к дополнительной информации (заверениям), обязательной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включению в заявку на получение независимой гарантии/Поручительства.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Фонд принимает и использует в работе </w:t>
      </w:r>
      <w:r>
        <w:rPr>
          <w:rFonts w:ascii="Times New Roman" w:hAnsi="Times New Roman"/>
          <w:sz w:val="24"/>
          <w:szCs w:val="24"/>
        </w:rPr>
        <w:t xml:space="preserve">Граничные значения рейтингов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Целев</w:t>
      </w:r>
      <w:r>
        <w:rPr>
          <w:rFonts w:ascii="Times New Roman" w:hAnsi="Times New Roman"/>
          <w:sz w:val="24"/>
          <w:szCs w:val="24"/>
        </w:rPr>
        <w:t xml:space="preserve">ую</w:t>
      </w:r>
      <w:r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рейтингов</w:t>
      </w:r>
      <w:r>
        <w:rPr>
          <w:rFonts w:ascii="Times New Roman" w:hAnsi="Times New Roman"/>
          <w:sz w:val="24"/>
          <w:szCs w:val="24"/>
        </w:rPr>
        <w:t xml:space="preserve"> в полном соответствии с их установленными Корпорацией значениями.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.7. </w:t>
      </w:r>
      <w:r>
        <w:rPr>
          <w:rFonts w:ascii="Times New Roman" w:hAnsi="Times New Roman"/>
          <w:sz w:val="24"/>
          <w:szCs w:val="24"/>
        </w:rPr>
        <w:t xml:space="preserve">В случае изменения Корпорацией параметров допуска Банка-партнера к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еханизму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Корпорация информирует </w:t>
      </w:r>
      <w:r>
        <w:rPr>
          <w:rFonts w:ascii="Times New Roman" w:hAnsi="Times New Roman"/>
          <w:sz w:val="24"/>
          <w:szCs w:val="24"/>
        </w:rPr>
        <w:t xml:space="preserve">об этом Фонд</w:t>
      </w:r>
      <w:r>
        <w:rPr>
          <w:rFonts w:ascii="Times New Roman" w:hAnsi="Times New Roman"/>
          <w:sz w:val="24"/>
          <w:szCs w:val="24"/>
        </w:rPr>
        <w:t xml:space="preserve"> в срок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(трех) рабочих дней со дня принятия соответствующего решения Корпорацией </w:t>
      </w:r>
      <w:r>
        <w:rPr>
          <w:rFonts w:ascii="Times New Roman" w:hAnsi="Times New Roman"/>
          <w:sz w:val="24"/>
          <w:szCs w:val="24"/>
        </w:rPr>
        <w:t xml:space="preserve">путем </w:t>
      </w:r>
      <w:r>
        <w:rPr>
          <w:rFonts w:ascii="Times New Roman" w:hAnsi="Times New Roman"/>
          <w:sz w:val="24"/>
          <w:szCs w:val="24"/>
        </w:rPr>
        <w:t xml:space="preserve">размещения такой информации в электронном виде в автоматизированной информационной системе «Мониторинг МСП» с учетом требований законодательства Российской Федерации о защите конфиденциальной информации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-43976</wp:posOffset>
                </wp:positionH>
                <wp:positionV relativeFrom="page">
                  <wp:posOffset>585864</wp:posOffset>
                </wp:positionV>
                <wp:extent cx="2157095" cy="2350395"/>
                <wp:effectExtent l="0" t="0" r="14604" b="12065"/>
                <wp:wrapNone/>
                <wp:docPr id="1" name="Прямоугольник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7095" cy="2350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Регистрационный №____________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от «___»_________________20___г.</w:t>
                            </w:r>
                            <w:r/>
                          </w:p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____________ ч. ___________ мин.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Зарегистрировано: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подпись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/____________________________/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расшифровка подписи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специалиста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60288;o:allowoverlap:true;o:allowincell:true;mso-position-horizontal-relative:text;margin-left:-3.5pt;mso-position-horizontal:absolute;mso-position-vertical-relative:page;margin-top:46.1pt;mso-position-vertical:absolute;width:169.8pt;height:185.1pt;rotation:180;v-text-anchor:top;" coordsize="100000,100000" path="" fillcolor="#FFFFFF" strokecolor="#000000" strokeweight="0.75pt">
                <v:path textboxrect="0,0,0,0"/>
                <v:textbox>
                  <w:txbxContent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Регистрационный №____________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от «___»_________________20___г.</w:t>
                      </w:r>
                      <w:r/>
                    </w:p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____________ ч. ___________ мин.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Зарегистрировано: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/>
                    </w:p>
                    <w:p>
                      <w:pPr>
                        <w:jc w:val="center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____________________________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подпись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/____________________________/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расшифровка подписи</w:t>
                      </w:r>
                      <w:r/>
                    </w:p>
                    <w:p>
                      <w:pPr>
                        <w:jc w:val="center"/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специалиста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/>
          <w:sz w:val="24"/>
          <w:szCs w:val="24"/>
          <w:lang w:eastAsia="ru-RU"/>
        </w:rPr>
        <w:t xml:space="preserve">иложение № 1</w:t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гарантийным фондом</w:t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о предоставлении банковской гарантии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Тульск</w:t>
      </w:r>
      <w:r>
        <w:rPr>
          <w:rFonts w:ascii="Times New Roman" w:hAnsi="Times New Roman"/>
          <w:sz w:val="24"/>
          <w:szCs w:val="24"/>
          <w:lang w:eastAsia="ru-RU"/>
        </w:rPr>
        <w:t xml:space="preserve">ий</w:t>
      </w:r>
      <w:r>
        <w:rPr>
          <w:rFonts w:ascii="Times New Roman" w:hAnsi="Times New Roman"/>
          <w:sz w:val="24"/>
          <w:szCs w:val="24"/>
          <w:lang w:eastAsia="ru-RU"/>
        </w:rPr>
        <w:t xml:space="preserve"> областно</w:t>
      </w:r>
      <w:r>
        <w:rPr>
          <w:rFonts w:ascii="Times New Roman" w:hAnsi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/>
          <w:sz w:val="24"/>
          <w:szCs w:val="24"/>
          <w:lang w:eastAsia="ru-RU"/>
        </w:rPr>
        <w:t xml:space="preserve"> гарантийн</w:t>
      </w:r>
      <w:r>
        <w:rPr>
          <w:rFonts w:ascii="Times New Roman" w:hAnsi="Times New Roman"/>
          <w:sz w:val="24"/>
          <w:szCs w:val="24"/>
          <w:lang w:eastAsia="ru-RU"/>
        </w:rPr>
        <w:t xml:space="preserve">ый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 </w:t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ЗАЯВКА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получение поручительства Тульского областного гарантийного фонда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кредитным договорам, договорам о предоставлении банковской гарантии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 использованием механизма гарантийной поддержки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андеррайтинга</w:t>
      </w:r>
      <w:r/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/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г. Тула                                                                                       «___»_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________20___года</w:t>
      </w:r>
      <w:r/>
    </w:p>
    <w:p>
      <w:pPr>
        <w:pStyle w:val="67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Прошу предоставить поручительство Тульского областного гарантийного фонда по кредитному договору (договору о предоставлении банковской гарантии) следующему субъекту малого (среднего) предпринимательства</w:t>
      </w:r>
      <w:r>
        <w:rPr>
          <w:rFonts w:ascii="Times New Roman" w:hAnsi="Times New Roman"/>
          <w:lang w:eastAsia="ru-RU"/>
        </w:rPr>
        <w:t xml:space="preserve">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3"/>
        <w:gridCol w:w="6589"/>
        <w:gridCol w:w="2269"/>
      </w:tblGrid>
      <w:tr>
        <w:trPr/>
        <w:tc>
          <w:tcPr>
            <w:shd w:val="clear" w:color="auto" w:fill="e6e6e6"/>
            <w:tcW w:w="363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gridSpan w:val="2"/>
            <w:shd w:val="clear" w:color="auto" w:fill="e6e6e6"/>
            <w:tcW w:w="463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субъекте малого (среднего) предпринимательства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lang w:eastAsia="ru-RU"/>
              </w:rPr>
              <w:t xml:space="preserve">далее – Заемщик):</w:t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Полное наименование/Ф.И.О.(полностью):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(место нахождения)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/>
                <w:lang w:eastAsia="ru-RU"/>
              </w:rPr>
              <w:t xml:space="preserve"> (фактический адрес):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Штатная численность наемных сотрудников Заемщика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</w:t>
            </w:r>
            <w:r>
              <w:rPr>
                <w:rFonts w:ascii="Times New Roman" w:hAnsi="Times New Roman"/>
                <w:lang w:eastAsia="ru-RU"/>
              </w:rPr>
              <w:t xml:space="preserve">, телефон, </w:t>
            </w:r>
            <w:r>
              <w:rPr>
                <w:rFonts w:ascii="Times New Roman" w:hAnsi="Times New Roman"/>
                <w:lang w:eastAsia="ru-RU"/>
              </w:rPr>
              <w:t xml:space="preserve">эл</w:t>
            </w:r>
            <w:r>
              <w:rPr>
                <w:rFonts w:ascii="Times New Roman" w:hAnsi="Times New Roman"/>
                <w:lang w:eastAsia="ru-RU"/>
              </w:rPr>
              <w:t xml:space="preserve">.п</w:t>
            </w:r>
            <w:r>
              <w:rPr>
                <w:rFonts w:ascii="Times New Roman" w:hAnsi="Times New Roman"/>
                <w:lang w:eastAsia="ru-RU"/>
              </w:rPr>
              <w:t xml:space="preserve">очта</w:t>
            </w:r>
            <w:r>
              <w:rPr>
                <w:rFonts w:ascii="Times New Roman" w:hAnsi="Times New Roman"/>
                <w:lang w:eastAsia="ru-RU"/>
              </w:rPr>
              <w:t xml:space="preserve"> (единоличного исполнительного органа, индивидуального предпринимателя)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государственный регистрационный номер (ОГРН/ОРГНИП):</w:t>
            </w:r>
            <w:r/>
          </w:p>
        </w:tc>
        <w:tc>
          <w:tcPr>
            <w:tcBorders>
              <w:bottom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фактический вид деятельности Заемщика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/>
          </w:p>
        </w:tc>
        <w:tc>
          <w:tcPr>
            <w:tcBorders>
              <w:bottom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Принадлежность Заемщика к группе компаний (если принадлежит указать участников группы, ИНН, ОГРН/ОГРНИП)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/>
          </w:p>
        </w:tc>
        <w:tc>
          <w:tcPr>
            <w:tcBorders>
              <w:bottom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</w:t>
            </w:r>
            <w:r>
              <w:rPr>
                <w:rFonts w:ascii="Times New Roman" w:hAnsi="Times New Roman"/>
                <w:lang w:eastAsia="ru-RU"/>
              </w:rPr>
              <w:t xml:space="preserve">9</w:t>
            </w:r>
            <w:r>
              <w:rPr>
                <w:rFonts w:ascii="Times New Roman" w:hAnsi="Times New Roman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 w:themeFill="background1"/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Наличие/отсутствие информации у Финансовой организации о фактах нарушения Заемщиком</w:t>
            </w:r>
            <w:r>
              <w:rPr>
                <w:rFonts w:ascii="Times New Roman" w:hAnsi="Times New Roman"/>
              </w:rPr>
              <w:t xml:space="preserve"> 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</w:rPr>
              <w:t xml:space="preserve">(при наличии – предоставить имеющуюся у Финансовой организации информацию)</w:t>
            </w:r>
            <w:r/>
          </w:p>
        </w:tc>
        <w:tc>
          <w:tcPr>
            <w:shd w:val="clear" w:color="auto" w:fill="ffffff" w:themeFill="background1"/>
            <w:tcW w:w="11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</w:t>
            </w:r>
            <w:r>
              <w:rPr>
                <w:rFonts w:ascii="Times New Roman" w:hAnsi="Times New Roman"/>
                <w:lang w:eastAsia="ru-RU"/>
              </w:rPr>
              <w:t xml:space="preserve">10</w:t>
            </w:r>
            <w:r>
              <w:rPr>
                <w:rFonts w:ascii="Times New Roman" w:hAnsi="Times New Roman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 w:themeFill="background1"/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отношении указанного Заемщика </w:t>
            </w:r>
            <w:r>
              <w:rPr>
                <w:rFonts w:ascii="Times New Roman" w:hAnsi="Times New Roman"/>
                <w:lang w:eastAsia="ru-RU"/>
              </w:rPr>
              <w:t xml:space="preserve">Банком-партнером</w:t>
            </w:r>
            <w:r>
              <w:rPr>
                <w:rFonts w:ascii="Times New Roman" w:hAnsi="Times New Roman"/>
                <w:lang w:eastAsia="ru-RU"/>
              </w:rPr>
              <w:t xml:space="preserve"> не проводится (в рамках кредита, обеспечиваемого запрашиваем</w:t>
            </w:r>
            <w:r>
              <w:rPr>
                <w:rFonts w:ascii="Times New Roman" w:hAnsi="Times New Roman"/>
                <w:lang w:eastAsia="ru-RU"/>
              </w:rPr>
              <w:t xml:space="preserve">ым Поручительством Фонда</w:t>
            </w:r>
            <w:r>
              <w:rPr>
                <w:rFonts w:ascii="Times New Roman" w:hAnsi="Times New Roman"/>
                <w:lang w:eastAsia="ru-RU"/>
              </w:rPr>
              <w:t xml:space="preserve">) и не проводилась ранее реструктуризация кредитов (в определении п. 3.7.2.2 Положения Банка России 590-П), не связанная с изменением процентной ставки</w:t>
            </w:r>
            <w:r>
              <w:rPr>
                <w:rFonts w:ascii="Times New Roman" w:hAnsi="Times New Roman"/>
                <w:lang w:eastAsia="ru-RU"/>
              </w:rPr>
              <w:t xml:space="preserve">?</w:t>
            </w:r>
            <w:r>
              <w:rPr>
                <w:rFonts w:ascii="Times New Roman" w:hAnsi="Times New Roman"/>
                <w:lang w:eastAsia="ru-RU"/>
              </w:rPr>
              <w:t xml:space="preserve"> (да/нет)</w:t>
            </w:r>
            <w:r/>
          </w:p>
        </w:tc>
        <w:tc>
          <w:tcPr>
            <w:shd w:val="clear" w:color="auto" w:fill="ffffff" w:themeFill="background1"/>
            <w:tcW w:w="11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1.11</w:t>
            </w:r>
            <w:r>
              <w:rPr>
                <w:rFonts w:ascii="Times New Roman" w:hAnsi="Times New Roman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 w:themeFill="background1"/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отношении Заемщика не выявлено событие невозможности,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неспособности или отказа клиента производить выплаты по свои финансовым  обязательствам своевременно и в полном объеме и (или) выполнять прочие существенные условия кредитных соглашений Финансовой организацией </w:t>
            </w:r>
            <w:r/>
          </w:p>
        </w:tc>
        <w:tc>
          <w:tcPr>
            <w:shd w:val="clear" w:color="auto" w:fill="ffffff" w:themeFill="background1"/>
            <w:tcW w:w="11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auto" w:fill="e6e6e6"/>
            <w:tcW w:w="363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gridSpan w:val="2"/>
            <w:shd w:val="clear" w:color="auto" w:fill="e6e6e6"/>
            <w:tcW w:w="463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проекте:</w:t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Краткое описание (сущность) проекта, цель, этапы: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Общая стоимость проекта (с расшифровкой по статьям):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Социальная значимость проекта</w:t>
            </w:r>
            <w:r>
              <w:rPr>
                <w:rFonts w:ascii="Times New Roman" w:hAnsi="Times New Roman"/>
                <w:lang w:eastAsia="ru-RU"/>
              </w:rPr>
              <w:t xml:space="preserve">: </w:t>
            </w:r>
            <w:r>
              <w:rPr>
                <w:rFonts w:ascii="Times New Roman" w:hAnsi="Times New Roman"/>
                <w:lang w:eastAsia="ru-RU"/>
              </w:rPr>
              <w:t xml:space="preserve">количество вновь </w:t>
            </w:r>
            <w:r>
              <w:rPr>
                <w:rFonts w:ascii="Times New Roman" w:hAnsi="Times New Roman"/>
                <w:lang w:eastAsia="ru-RU"/>
              </w:rPr>
              <w:t xml:space="preserve">создаваемых</w:t>
            </w:r>
            <w:r>
              <w:rPr>
                <w:rFonts w:ascii="Times New Roman" w:hAnsi="Times New Roman"/>
                <w:lang w:eastAsia="ru-RU"/>
              </w:rPr>
              <w:t xml:space="preserve"> рабочих мест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auto" w:fill="e6e6e6"/>
            <w:tcW w:w="363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gridSpan w:val="2"/>
            <w:shd w:val="clear" w:color="auto" w:fill="e6e6e6"/>
            <w:tcW w:w="463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предоставляемом кредите</w:t>
            </w:r>
            <w:r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гарантии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lang w:eastAsia="ru-RU"/>
              </w:rPr>
              <w:t xml:space="preserve">Финансовой организации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финансирования (кредит, банковская гарантия):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Кредитный продукт</w:t>
            </w:r>
            <w:r>
              <w:rPr>
                <w:rFonts w:ascii="Times New Roman" w:hAnsi="Times New Roman"/>
                <w:lang w:val="en-US" w:eastAsia="ru-RU"/>
              </w:rPr>
              <w:t xml:space="preserve">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Подсегмент</w:t>
            </w:r>
            <w:r>
              <w:rPr>
                <w:rFonts w:ascii="Times New Roman" w:hAnsi="Times New Roman"/>
                <w:lang w:eastAsia="ru-RU"/>
              </w:rPr>
              <w:t xml:space="preserve"> Заемщика</w:t>
            </w:r>
            <w:r>
              <w:rPr>
                <w:rFonts w:ascii="Times New Roman" w:hAnsi="Times New Roman"/>
                <w:lang w:val="en-US" w:eastAsia="ru-RU"/>
              </w:rPr>
              <w:t xml:space="preserve">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кредита (банковской гарантии):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Предполагаемый срок кредита (банковской гарантии):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</w:t>
            </w:r>
            <w:r>
              <w:rPr>
                <w:rFonts w:ascii="Times New Roman" w:hAnsi="Times New Roman"/>
                <w:lang w:eastAsia="ru-RU"/>
              </w:rPr>
              <w:t xml:space="preserve">ловия предоставления кредита (банковской гарантии): размер вознаграждения за пользование кредитом (банковской гарантией), в том числе установленная договором процентная ставка, порядок и сроки уплаты суммы основного долга, процентов за пользование кредитом</w:t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  <w:t xml:space="preserve"> банковской гарантией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 т.п.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>
          <w:trHeight w:val="3294"/>
        </w:trPr>
        <w:tc>
          <w:tcPr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</w:t>
            </w:r>
            <w:r>
              <w:rPr>
                <w:rFonts w:ascii="Times New Roman" w:hAnsi="Times New Roman"/>
                <w:lang w:eastAsia="ru-RU"/>
              </w:rPr>
              <w:t xml:space="preserve">8</w:t>
            </w:r>
            <w:r>
              <w:rPr>
                <w:rFonts w:ascii="Times New Roman" w:hAnsi="Times New Roman"/>
                <w:lang w:eastAsia="ru-RU"/>
              </w:rPr>
              <w:t xml:space="preserve">.</w:t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Предполагаемое обеспечение</w:t>
            </w:r>
            <w:r>
              <w:rPr>
                <w:rFonts w:ascii="Times New Roman" w:hAnsi="Times New Roman"/>
                <w:lang w:eastAsia="ru-RU"/>
              </w:rPr>
              <w:t xml:space="preserve"> для Финансовой организации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залог, заклад и т.п. (указать краткую информацию по объекту залога,  в </w:t>
            </w:r>
            <w:r>
              <w:rPr>
                <w:rFonts w:ascii="Times New Roman" w:hAnsi="Times New Roman"/>
                <w:lang w:eastAsia="ru-RU"/>
              </w:rPr>
              <w:t xml:space="preserve">т.ч</w:t>
            </w:r>
            <w:r>
              <w:rPr>
                <w:rFonts w:ascii="Times New Roman" w:hAnsi="Times New Roman"/>
                <w:lang w:eastAsia="ru-RU"/>
              </w:rPr>
              <w:t xml:space="preserve">. его рыночную и залоговую стоимость);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залогодателях (отразить наличие/отсутствие информации у Финансовой организации о фактах нарушения каждым залогодателем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поручителях (отразить наличие/отсутствие информации у Финансовой организации о фактах нарушения каждым поручителем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>
          <w:trHeight w:val="605"/>
        </w:trPr>
        <w:tc>
          <w:tcPr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</w:t>
            </w:r>
            <w:r>
              <w:rPr>
                <w:rFonts w:ascii="Times New Roman" w:hAnsi="Times New Roman"/>
                <w:lang w:eastAsia="ru-RU"/>
              </w:rPr>
              <w:t xml:space="preserve">9</w:t>
            </w:r>
            <w:r>
              <w:rPr>
                <w:rFonts w:ascii="Times New Roman" w:hAnsi="Times New Roman"/>
                <w:lang w:eastAsia="ru-RU"/>
              </w:rPr>
              <w:t xml:space="preserve">.</w:t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Рейтинг Заемщика в Банке с указанием модели, по которой он рассчитан </w:t>
            </w:r>
            <w:r>
              <w:rPr>
                <w:rFonts w:ascii="Times New Roman" w:hAnsi="Times New Roman"/>
                <w:lang w:eastAsia="ru-RU"/>
              </w:rPr>
              <w:t xml:space="preserve">дата его утверждения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>
          <w:trHeight w:val="605"/>
        </w:trPr>
        <w:tc>
          <w:tcPr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3.10.</w:t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Принятие кредитного решения о выдаче кредита производится в соответствии с Технологией КМБ (приказ Банка ВТБ (ПАО) от 19.03.2019 № 556) – 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указать да/нет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При одобрении кредита использован лимит самостоятельного кредитования территориального подразделения Банка  – 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указать да/нет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территориального подразделения Банка, предоставляющего кредитный продукт.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lang w:eastAsia="ru-RU"/>
              </w:rPr>
              <w:t xml:space="preserve">(данная строка включается только для Банка ВТБ (ПАО))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auto" w:fill="e6e6e6"/>
            <w:tcW w:w="363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gridSpan w:val="2"/>
            <w:shd w:val="clear" w:color="auto" w:fill="e6e6e6"/>
            <w:tcW w:w="4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по поручительству ТОГФ:</w:t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поручительства: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</w:t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  <w:t xml:space="preserve"> на который необходимо поручительство ТОГФ</w:t>
            </w:r>
            <w:r>
              <w:rPr>
                <w:rFonts w:ascii="Times New Roman" w:hAnsi="Times New Roman"/>
                <w:lang w:eastAsia="ru-RU"/>
              </w:rPr>
              <w:t xml:space="preserve">  - указать один из </w:t>
            </w:r>
            <w:r>
              <w:rPr>
                <w:rFonts w:ascii="Times New Roman" w:hAnsi="Times New Roman"/>
                <w:lang w:eastAsia="ru-RU"/>
              </w:rPr>
              <w:t xml:space="preserve">в</w:t>
            </w:r>
            <w:r>
              <w:rPr>
                <w:rFonts w:ascii="Times New Roman" w:hAnsi="Times New Roman"/>
                <w:lang w:eastAsia="ru-RU"/>
              </w:rPr>
              <w:t xml:space="preserve">ариантов: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даты окончания договора + 120 календарных дней;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конкретной даты + 120 календарных дней</w:t>
            </w:r>
            <w:r/>
          </w:p>
        </w:tc>
        <w:tc>
          <w:tcPr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auto" w:fill="e6e6e6"/>
            <w:tcW w:w="363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gridSpan w:val="2"/>
            <w:shd w:val="clear" w:color="auto" w:fill="e6e6e6"/>
            <w:tcW w:w="4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Дополнительная информация</w:t>
            </w:r>
            <w:r/>
          </w:p>
        </w:tc>
      </w:tr>
      <w:tr>
        <w:trPr>
          <w:trHeight w:val="896"/>
        </w:trPr>
        <w:tc>
          <w:tcPr>
            <w:tcBorders>
              <w:bottom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Получал ли </w:t>
            </w:r>
            <w:r>
              <w:rPr>
                <w:rFonts w:ascii="Times New Roman" w:hAnsi="Times New Roman"/>
                <w:lang w:eastAsia="ru-RU"/>
              </w:rPr>
              <w:t xml:space="preserve">Заемщик</w:t>
            </w:r>
            <w:r>
              <w:rPr>
                <w:rFonts w:ascii="Times New Roman" w:hAnsi="Times New Roman"/>
                <w:lang w:eastAsia="ru-RU"/>
              </w:rPr>
              <w:t xml:space="preserve"> поддержку, предусмотренную региональными, муниципальными программами развития субъектов малого и среднего предпринимательства?</w:t>
            </w:r>
            <w:r/>
          </w:p>
        </w:tc>
        <w:tc>
          <w:tcPr>
            <w:tcBorders>
              <w:bottom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shd w:val="clear" w:color="auto" w:fill="d9d9d9" w:themeFill="background1" w:themeFillShade="D9"/>
            <w:tcW w:w="363" w:type="pct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</w:t>
            </w:r>
            <w:r/>
          </w:p>
        </w:tc>
        <w:tc>
          <w:tcPr>
            <w:gridSpan w:val="2"/>
            <w:shd w:val="clear" w:color="auto" w:fill="d9d9d9" w:themeFill="background1" w:themeFillShade="D9"/>
            <w:tcW w:w="4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на обработку персональных данных Заемщика (представителя Заемщика)</w:t>
            </w:r>
            <w:r/>
          </w:p>
        </w:tc>
      </w:tr>
      <w:tr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Согласие </w:t>
            </w:r>
            <w:r>
              <w:rPr>
                <w:rFonts w:ascii="Times New Roman" w:hAnsi="Times New Roman"/>
                <w:b/>
                <w:lang w:eastAsia="ru-RU"/>
              </w:rPr>
              <w:t xml:space="preserve">на обработку персональных данных </w:t>
            </w:r>
            <w:r/>
          </w:p>
          <w:tbl>
            <w:tblPr>
              <w:tblW w:w="93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48"/>
              <w:gridCol w:w="55"/>
              <w:gridCol w:w="8337"/>
              <w:gridCol w:w="55"/>
            </w:tblGrid>
            <w:tr>
              <w:trPr>
                <w:trHeight w:val="31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right w:w="0" w:type="dxa"/>
                  </w:tcMar>
                  <w:tcW w:w="951" w:type="dxa"/>
                  <w:textDirection w:val="lrTb"/>
                  <w:noWrap w:val="false"/>
                </w:tcPr>
                <w:p>
                  <w:pPr>
                    <w:ind w:right="-42" w:firstLine="709"/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Я,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right w:w="0" w:type="dxa"/>
                  </w:tcMar>
                  <w:tcW w:w="55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836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0" w:type="dxa"/>
                  <w:textDirection w:val="lrTb"/>
                  <w:noWrap w:val="false"/>
                </w:tcPr>
                <w:p>
                  <w:pPr>
                    <w:jc w:val="right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/>
                </w:p>
              </w:tc>
            </w:tr>
          </w:tbl>
          <w:p>
            <w:pPr>
              <w:ind w:firstLine="993"/>
              <w:jc w:val="center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(фамилия, имя, отчество)</w:t>
            </w:r>
            <w:r/>
          </w:p>
          <w:tbl>
            <w:tblPr>
              <w:tblW w:w="9464" w:type="dxa"/>
              <w:tblLook w:val="00A0" w:firstRow="1" w:lastRow="0" w:firstColumn="1" w:lastColumn="0" w:noHBand="0" w:noVBand="0"/>
            </w:tblPr>
            <w:tblGrid>
              <w:gridCol w:w="1167"/>
              <w:gridCol w:w="1918"/>
              <w:gridCol w:w="284"/>
              <w:gridCol w:w="992"/>
              <w:gridCol w:w="296"/>
              <w:gridCol w:w="1121"/>
              <w:gridCol w:w="284"/>
              <w:gridCol w:w="3402"/>
            </w:tblGrid>
            <w:tr>
              <w:trPr/>
              <w:tc>
                <w:tcPr>
                  <w:gridSpan w:val="5"/>
                  <w:tcW w:w="465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зарегистрированны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й(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-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ая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) по адресу</w:t>
                  </w:r>
                  <w:r/>
                </w:p>
              </w:tc>
              <w:tc>
                <w:tcPr>
                  <w:gridSpan w:val="3"/>
                  <w:tcBorders>
                    <w:bottom w:val="single" w:color="auto" w:sz="4" w:space="0"/>
                  </w:tcBorders>
                  <w:tcW w:w="480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gridSpan w:val="8"/>
                  <w:tcBorders>
                    <w:bottom w:val="single" w:color="auto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116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паспорт</w:t>
                  </w:r>
                  <w:r/>
                </w:p>
              </w:tc>
              <w:tc>
                <w:tcPr>
                  <w:tcBorders>
                    <w:bottom w:val="single" w:color="auto" w:sz="4" w:space="0"/>
                  </w:tcBorders>
                  <w:tcW w:w="1918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/>
                </w:p>
              </w:tc>
              <w:tc>
                <w:tcPr>
                  <w:tcMar>
                    <w:left w:w="0" w:type="dxa"/>
                    <w:right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выдан</w:t>
                  </w:r>
                  <w:r/>
                </w:p>
              </w:tc>
              <w:tc>
                <w:tcPr>
                  <w:gridSpan w:val="2"/>
                  <w:tcBorders>
                    <w:bottom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/>
                </w:p>
              </w:tc>
              <w:tc>
                <w:tcPr>
                  <w:tcMar>
                    <w:left w:w="0" w:type="dxa"/>
                    <w:right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/>
                </w:p>
              </w:tc>
              <w:tc>
                <w:tcPr>
                  <w:tcBorders>
                    <w:bottom w:val="single" w:color="auto" w:sz="4" w:space="0"/>
                  </w:tcBorders>
                  <w:tcW w:w="340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                                                                                                       (дата)                                                   (кем 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выдан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)</w:t>
            </w:r>
            <w:r/>
          </w:p>
          <w:tbl>
            <w:tblPr>
              <w:tblW w:w="94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9464"/>
            </w:tblGrid>
            <w:tr>
              <w:trPr>
                <w:trHeight w:val="100"/>
              </w:trPr>
              <w:tc>
                <w:tcPr>
                  <w:tcBorders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spacing w:val="-9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данных», 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даю согласие оператору персональных данных </w:t>
            </w:r>
            <w:r>
              <w:rPr>
                <w:rFonts w:ascii="Times New Roman" w:hAnsi="Times New Roman"/>
                <w:lang w:eastAsia="ru-RU"/>
              </w:rPr>
              <w:t xml:space="preserve">Тульскому областному гарантийному фонду (ИНН 7104520110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_______(адрес)</w:t>
            </w:r>
            <w:r>
              <w:rPr>
                <w:rFonts w:ascii="Times New Roman" w:hAnsi="Times New Roman"/>
                <w:lang w:eastAsia="ru-RU"/>
              </w:rPr>
              <w:t xml:space="preserve">) (далее - «Фонд»),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на обработку следующих моих персональных данных: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фамилия, имя, отчество,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пол, возраст, место рождения, место регистрации   с целью оказания поддержки обратившегося в Фонд с заявкой субъекта малого и среднего предпринимательства, (заключения с Фондом договоров поручительства, соглашений</w:t>
            </w:r>
            <w:r>
              <w:rPr>
                <w:rFonts w:ascii="Times New Roman" w:hAnsi="Times New Roman"/>
                <w:lang w:eastAsia="ru-RU"/>
              </w:rPr>
              <w:t xml:space="preserve">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услугах).</w:t>
            </w:r>
            <w:r/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/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Перечень действий, осуществляемых с персональными данными: </w:t>
            </w:r>
            <w:r>
              <w:rPr>
                <w:rFonts w:ascii="Times New Roman" w:hAnsi="Times New Roman"/>
                <w:spacing w:val="-4"/>
                <w:lang w:eastAsia="ru-RU"/>
              </w:rPr>
              <w:t xml:space="preserve">сбор; запись; систематизация; накопление; хранение; уточнение (обновление, изменение); извлечение; передача; использование; блокирование; удаление; уничтожение.</w:t>
            </w:r>
            <w:r/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/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ознакомлен (а)  и согласен (а) с Регламентом предоставления поручительств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Тульским областным гарантийным фондом по кредитным договорам, договорам займа, договорам финансовой аренды (лизинга), договорам о предоставлен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ии банковской гарантии и иным договорам, Регламентом предоставления поручительств Тульским областным гарантийным фондом по  кредитным договорам, договорам о предоставлении банковской гарантии с использованием механизма гарантийной поддержки без повторного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андеррайтинга</w:t>
            </w:r>
            <w:r>
              <w:rPr>
                <w:rFonts w:ascii="Times New Roman" w:hAnsi="Times New Roman"/>
                <w:iCs/>
                <w:lang w:eastAsia="ru-RU"/>
              </w:rPr>
              <w:t xml:space="preserve">.</w:t>
            </w:r>
            <w:r/>
          </w:p>
          <w:p>
            <w:pPr>
              <w:contextualSpacing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 ____________ 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_____________   _________________________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(подпись)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  <w:t xml:space="preserve">      (расшифровка подписи)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Courier New"/>
          <w:lang w:eastAsia="ru-RU"/>
        </w:rPr>
        <w:t xml:space="preserve">   </w:t>
      </w:r>
      <w:r/>
    </w:p>
    <w:tbl>
      <w:tblPr>
        <w:tblW w:w="5002" w:type="pct"/>
        <w:tblLook w:val="00A0" w:firstRow="1" w:lastRow="0" w:firstColumn="1" w:lastColumn="0" w:noHBand="0" w:noVBand="0"/>
      </w:tblPr>
      <w:tblGrid>
        <w:gridCol w:w="9575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подтверждаю и гарантирую, что</w:t>
            </w:r>
            <w:r/>
          </w:p>
        </w:tc>
      </w:tr>
      <w:tr>
        <w:trPr>
          <w:trHeight w:val="300"/>
        </w:trPr>
        <w:tc>
          <w:tcPr>
            <w:shd w:val="clear" w:color="0000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/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vMerge w:val="restart"/>
            <w:textDirection w:val="lrTb"/>
            <w:noWrap w:val="false"/>
          </w:tcPr>
          <w:p>
            <w:pPr>
              <w:ind w:firstLine="39"/>
              <w:jc w:val="center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(указать наименование)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 xml:space="preserve">зарегистрирован</w:t>
            </w:r>
            <w:r>
              <w:rPr>
                <w:rFonts w:ascii="Times New Roman" w:hAnsi="Times New Roman"/>
                <w:lang w:eastAsia="ru-RU"/>
              </w:rPr>
              <w:t xml:space="preserve"> (-но) или осуществляет деятельность на территории Тульской области;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не имеет просроченную задолженность по налогам, сборам и иным обязательным платежам в </w:t>
            </w:r>
            <w:r>
              <w:rPr>
                <w:rFonts w:ascii="Times New Roman" w:hAnsi="Times New Roman"/>
                <w:lang w:eastAsia="ru-RU"/>
              </w:rPr>
              <w:t xml:space="preserve">бюджеты бюджетной системы Российской Федерации, превышающая 50 тыс. </w:t>
            </w:r>
            <w:r>
              <w:rPr>
                <w:rFonts w:ascii="Times New Roman" w:hAnsi="Times New Roman"/>
                <w:lang w:eastAsia="ru-RU"/>
              </w:rPr>
              <w:t xml:space="preserve">рублей;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 не прим</w:t>
            </w:r>
            <w:r>
              <w:rPr>
                <w:rFonts w:ascii="Times New Roman" w:hAnsi="Times New Roman"/>
              </w:rPr>
              <w:t xml:space="preserve">еняются процедуры несостоятельности (банкротства), в том числе наблюдение, финансовое оздоровление, внешнее управление, конкурсное производство, либо аннулирование или приостановление действия лицензии (в случае, если деятельность подлежит лицензированию);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не имеет задолженности перед работниками (персоналом) по заработной плате более трех</w:t>
            </w:r>
            <w:r>
              <w:rPr>
                <w:rFonts w:ascii="Times New Roman" w:hAnsi="Times New Roman"/>
              </w:rPr>
              <w:t xml:space="preserve"> месяцев</w:t>
            </w:r>
            <w:r>
              <w:rPr>
                <w:rFonts w:ascii="Times New Roman" w:hAnsi="Times New Roman"/>
                <w:lang w:eastAsia="ru-RU"/>
              </w:rPr>
              <w:t xml:space="preserve">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имеет уровень минимальной</w:t>
            </w:r>
            <w:r>
              <w:rPr>
                <w:rFonts w:ascii="Times New Roman" w:hAnsi="Times New Roman"/>
                <w:lang w:eastAsia="ru-RU"/>
              </w:rPr>
              <w:t xml:space="preserve"> заработной платы не ниже уровня, установленного Региональным соглашением о минимальной заработной плате в Тульской области;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присоединился</w:t>
            </w:r>
            <w:r>
              <w:rPr>
                <w:rFonts w:ascii="Times New Roman" w:hAnsi="Times New Roman"/>
                <w:lang w:eastAsia="ru-RU"/>
              </w:rPr>
              <w:t xml:space="preserve"> (-</w:t>
            </w:r>
            <w:r>
              <w:rPr>
                <w:rFonts w:ascii="Times New Roman" w:hAnsi="Times New Roman"/>
                <w:lang w:eastAsia="ru-RU"/>
              </w:rPr>
              <w:t xml:space="preserve">лось) к областному трехстороннему соглашению между правительством Тульской области, Тульской Федерацией профсоюзов и Тульским областным союзом </w:t>
            </w:r>
            <w:r>
              <w:rPr>
                <w:rFonts w:ascii="Times New Roman" w:hAnsi="Times New Roman"/>
                <w:lang w:eastAsia="ru-RU"/>
              </w:rPr>
              <w:t xml:space="preserve">работодателей;</w:t>
            </w:r>
            <w:r>
              <w:rPr>
                <w:rFonts w:ascii="Times New Roman" w:hAnsi="Times New Roman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lang w:eastAsia="ru-RU"/>
              </w:rPr>
              <w:t xml:space="preserve"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</w:t>
            </w:r>
            <w:r>
              <w:rPr>
                <w:rFonts w:ascii="Times New Roman" w:hAnsi="Times New Roman"/>
                <w:lang w:eastAsia="ru-RU"/>
              </w:rPr>
              <w:t xml:space="preserve">енных бумаг, ломбардом, участником соглашений о разделе продукции, не осуществляет деятельность в сфере игорного бизнеса, не является нерезидентом Российской Федерации, за исключением случаев, предусмотренных международными договорами Российской Федерации;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не </w:t>
            </w:r>
            <w:r>
              <w:rPr>
                <w:rFonts w:ascii="Times New Roman" w:hAnsi="Times New Roman"/>
                <w:lang w:eastAsia="ru-RU"/>
              </w:rPr>
              <w:t xml:space="preserve">находится в стадии ликвидации или реорганизации</w:t>
            </w:r>
            <w:r>
              <w:rPr>
                <w:rFonts w:ascii="Times New Roman" w:hAnsi="Times New Roman"/>
                <w:lang w:eastAsia="ru-RU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не является иностранным агентом;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ознакомле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н(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о) и согласен(о)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вской гарантии и иным договорам,  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Регламентом предоставления поручительств Тульским областным гарантийным фондом по  кредитным договорам, договорам о предоставлении банковской гарантии с использованием механизма гарантийной поддержки без повторного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андеррайтинга</w:t>
            </w:r>
            <w:r>
              <w:rPr>
                <w:rFonts w:ascii="Times New Roman" w:hAnsi="Times New Roman"/>
                <w:iCs/>
                <w:lang w:eastAsia="ru-RU"/>
              </w:rPr>
              <w:t xml:space="preserve">.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</w:r>
            <w:r/>
          </w:p>
        </w:tc>
      </w:tr>
      <w:tr>
        <w:trPr>
          <w:trHeight w:val="4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Вся информация, содержащаяся в анкете и прилагаемых документах, является подлинной и достоверной и может быть подтверждена документально в случае необходимости.</w:t>
            </w:r>
            <w:r/>
          </w:p>
          <w:p>
            <w:pPr>
              <w:jc w:val="both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Я уведомлен о том, что моя неявка для подписания договора поручительства в течение </w:t>
            </w:r>
            <w:r>
              <w:rPr>
                <w:rFonts w:ascii="Times New Roman" w:hAnsi="Times New Roman"/>
                <w:lang w:eastAsia="ru-RU"/>
              </w:rPr>
              <w:t xml:space="preserve">9</w:t>
            </w:r>
            <w:r>
              <w:rPr>
                <w:rFonts w:ascii="Times New Roman" w:hAnsi="Times New Roman"/>
                <w:lang w:eastAsia="ru-RU"/>
              </w:rPr>
              <w:t xml:space="preserve">0 календарных дней со дня принятия Конкурсной комиссией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/>
          </w:p>
        </w:tc>
      </w:tr>
      <w:tr>
        <w:trPr>
          <w:trHeight w:val="2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/>
          </w:p>
        </w:tc>
      </w:tr>
      <w:tr>
        <w:trPr>
          <w:trHeight w:val="2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/>
          </w:p>
        </w:tc>
      </w:tr>
      <w:tr>
        <w:trPr>
          <w:trHeight w:val="2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/>
          </w:p>
        </w:tc>
      </w:tr>
      <w:tr>
        <w:trPr>
          <w:trHeight w:val="2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сообщаю, что у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/>
          </w:p>
        </w:tc>
      </w:tr>
      <w:tr>
        <w:trPr>
          <w:trHeight w:val="26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указать наименование)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 Тульским областным гарантийным фондом при совершении сделки по получению поручительства, указанного в разделе 2. настоящей анкеты.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Приложения: согласи</w:t>
      </w:r>
      <w:r>
        <w:rPr>
          <w:rFonts w:ascii="Times New Roman" w:hAnsi="Times New Roman"/>
          <w:lang w:eastAsia="ru-RU"/>
        </w:rPr>
        <w:t xml:space="preserve">е</w:t>
      </w:r>
      <w:r>
        <w:rPr>
          <w:rFonts w:ascii="Times New Roman" w:hAnsi="Times New Roman"/>
          <w:lang w:eastAsia="ru-RU"/>
        </w:rPr>
        <w:t xml:space="preserve">(</w:t>
      </w:r>
      <w:r>
        <w:rPr>
          <w:rFonts w:ascii="Times New Roman" w:hAnsi="Times New Roman"/>
          <w:lang w:eastAsia="ru-RU"/>
        </w:rPr>
        <w:t xml:space="preserve">я)</w:t>
      </w:r>
      <w:r>
        <w:rPr>
          <w:rFonts w:ascii="Times New Roman" w:hAnsi="Times New Roman"/>
          <w:lang w:eastAsia="ru-RU"/>
        </w:rPr>
        <w:t xml:space="preserve"> на обработку персональных данных</w:t>
      </w:r>
      <w:r>
        <w:rPr>
          <w:rFonts w:ascii="Times New Roman" w:hAnsi="Times New Roman"/>
          <w:lang w:eastAsia="ru-RU"/>
        </w:rPr>
        <w:t xml:space="preserve"> на </w:t>
      </w:r>
      <w:r>
        <w:rPr>
          <w:rFonts w:ascii="Times New Roman" w:hAnsi="Times New Roman"/>
          <w:lang w:eastAsia="ru-RU"/>
        </w:rPr>
        <w:t xml:space="preserve"> ___л</w:t>
      </w:r>
      <w:r>
        <w:rPr>
          <w:rFonts w:ascii="Times New Roman" w:hAnsi="Times New Roman"/>
          <w:lang w:eastAsia="ru-RU"/>
        </w:rPr>
        <w:t xml:space="preserve">.</w:t>
      </w:r>
      <w:r>
        <w:rPr>
          <w:rFonts w:ascii="Times New Roman" w:hAnsi="Times New Roman"/>
          <w:lang w:eastAsia="ru-RU"/>
        </w:rPr>
        <w:t xml:space="preserve"> в 1экз. </w:t>
      </w:r>
      <w:r/>
    </w:p>
    <w:p>
      <w:pPr>
        <w:jc w:val="both"/>
        <w:spacing w:after="0" w:line="36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(при необходимости</w:t>
      </w:r>
      <w:r>
        <w:rPr>
          <w:rFonts w:ascii="Times New Roman" w:hAnsi="Times New Roman"/>
          <w:i/>
          <w:lang w:eastAsia="ru-RU"/>
        </w:rPr>
        <w:t xml:space="preserve"> от участников (акционеров) Заемщика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)</w:t>
      </w:r>
      <w:r/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</w:t>
      </w:r>
      <w:r>
        <w:rPr>
          <w:rFonts w:ascii="Times New Roman" w:hAnsi="Times New Roman"/>
          <w:lang w:eastAsia="ru-RU"/>
        </w:rPr>
        <w:t xml:space="preserve">______________</w:t>
      </w:r>
      <w:r>
        <w:rPr>
          <w:rFonts w:ascii="Times New Roman" w:hAnsi="Times New Roman"/>
          <w:lang w:eastAsia="ru-RU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(наименование </w:t>
      </w:r>
      <w:r>
        <w:rPr>
          <w:rFonts w:ascii="Times New Roman" w:hAnsi="Times New Roman"/>
          <w:vertAlign w:val="superscript"/>
          <w:lang w:eastAsia="ru-RU"/>
        </w:rPr>
        <w:t xml:space="preserve">Банка-партнера</w:t>
      </w:r>
      <w:r>
        <w:rPr>
          <w:rFonts w:ascii="Times New Roman" w:hAnsi="Times New Roman"/>
          <w:vertAlign w:val="superscript"/>
          <w:lang w:eastAsia="ru-RU"/>
        </w:rPr>
        <w:t xml:space="preserve">)</w:t>
      </w:r>
      <w:r/>
    </w:p>
    <w:p>
      <w:pPr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уполномоченный сотрудник </w:t>
      </w:r>
      <w:r>
        <w:rPr>
          <w:rFonts w:ascii="Times New Roman" w:hAnsi="Times New Roman"/>
          <w:vertAlign w:val="superscript"/>
          <w:lang w:eastAsia="ru-RU"/>
        </w:rPr>
        <w:t xml:space="preserve">Банка-партнера</w:t>
      </w:r>
      <w:r>
        <w:rPr>
          <w:rFonts w:ascii="Times New Roman" w:hAnsi="Times New Roman"/>
          <w:vertAlign w:val="superscript"/>
          <w:lang w:eastAsia="ru-RU"/>
        </w:rPr>
        <w:t xml:space="preserve">:</w:t>
      </w:r>
      <w:r/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 ________________________ (_____________________________)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(наименование должности)                                (подпись)                                                              (ФИО)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М.П.</w:t>
      </w:r>
      <w:r/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«Согласовано» </w:t>
      </w:r>
      <w:r/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Руководитель малого (среднего) предприятия</w:t>
      </w:r>
      <w:r/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(Индивидуальный предприниматель)</w:t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</w:rPr>
        <w:t xml:space="preserve">организации инфраструктуры поддержки </w:t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субъектов малого и среднего предпринимательства</w:t>
      </w:r>
      <w:r/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sz w:val="24"/>
          <w:szCs w:val="19"/>
          <w:lang w:eastAsia="ru-RU"/>
        </w:rPr>
        <w:t xml:space="preserve">___________________________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   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(________________)</w:t>
      </w:r>
      <w:r/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(должность)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(подпись)                            (ФИО)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М.П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.</w:t>
      </w:r>
      <w:r/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</w:t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к </w:t>
      </w:r>
      <w:r>
        <w:rPr>
          <w:rFonts w:ascii="Times New Roman" w:hAnsi="Times New Roman"/>
          <w:spacing w:val="20"/>
          <w:sz w:val="16"/>
          <w:szCs w:val="16"/>
          <w:lang w:eastAsia="ru-RU"/>
        </w:rPr>
        <w:t xml:space="preserve">Заявке </w:t>
      </w:r>
      <w:r>
        <w:rPr>
          <w:rFonts w:ascii="Times New Roman" w:hAnsi="Times New Roman"/>
          <w:sz w:val="16"/>
          <w:szCs w:val="16"/>
          <w:lang w:eastAsia="ru-RU"/>
        </w:rPr>
        <w:t xml:space="preserve">на получение поручительства </w:t>
      </w:r>
      <w:r/>
    </w:p>
    <w:p>
      <w:pPr>
        <w:jc w:val="right"/>
        <w:spacing w:after="0" w:line="240" w:lineRule="auto"/>
        <w:rPr>
          <w:rFonts w:ascii="Times New Roman" w:hAnsi="Times New Roman"/>
          <w:spacing w:val="20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Тульского областного гарантийного фонда</w:t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по кредитным договорам,</w:t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договорам о пред</w:t>
      </w:r>
      <w:r>
        <w:rPr>
          <w:rFonts w:ascii="Times New Roman" w:hAnsi="Times New Roman"/>
          <w:sz w:val="16"/>
          <w:szCs w:val="16"/>
          <w:lang w:eastAsia="ru-RU"/>
        </w:rPr>
        <w:t xml:space="preserve">оставлении банковской гарантии </w:t>
      </w:r>
      <w:r/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с использованием механизма </w:t>
      </w:r>
      <w:r>
        <w:rPr>
          <w:rFonts w:ascii="Times New Roman" w:hAnsi="Times New Roman"/>
          <w:sz w:val="16"/>
          <w:szCs w:val="16"/>
          <w:lang w:eastAsia="ru-RU"/>
        </w:rPr>
        <w:t xml:space="preserve">гарантийной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/>
    </w:p>
    <w:p>
      <w:pPr>
        <w:jc w:val="right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поддержки без </w:t>
      </w:r>
      <w:r>
        <w:rPr>
          <w:rFonts w:ascii="Times New Roman" w:hAnsi="Times New Roman"/>
          <w:sz w:val="16"/>
          <w:szCs w:val="16"/>
          <w:lang w:eastAsia="ru-RU"/>
        </w:rPr>
        <w:t xml:space="preserve">повторного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андеррайтинга</w:t>
      </w:r>
      <w:r/>
    </w:p>
    <w:p>
      <w:pPr>
        <w:jc w:val="center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согласие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/>
    </w:p>
    <w:tbl>
      <w:tblPr>
        <w:tblW w:w="9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"/>
        <w:gridCol w:w="55"/>
        <w:gridCol w:w="8369"/>
        <w:gridCol w:w="20"/>
      </w:tblGrid>
      <w:tr>
        <w:trPr>
          <w:trHeight w:val="3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951" w:type="dxa"/>
            <w:textDirection w:val="lrTb"/>
            <w:noWrap w:val="false"/>
          </w:tcPr>
          <w:p>
            <w:pPr>
              <w:ind w:right="-42" w:firstLine="709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Я,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/>
          </w:p>
        </w:tc>
      </w:tr>
    </w:tbl>
    <w:p>
      <w:pPr>
        <w:ind w:firstLine="993"/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(фамилия, имя, отчество)</w:t>
      </w:r>
      <w:r/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>
        <w:trPr/>
        <w:tc>
          <w:tcPr>
            <w:gridSpan w:val="5"/>
            <w:tcW w:w="46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зарегистрированны</w:t>
            </w:r>
            <w:r>
              <w:rPr>
                <w:rFonts w:ascii="Times New Roman" w:hAnsi="Times New Roman"/>
                <w:lang w:eastAsia="ru-RU"/>
              </w:rPr>
              <w:t xml:space="preserve">й(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  <w:t xml:space="preserve">) по адресу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W w:w="4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gridSpan w:val="8"/>
            <w:tcBorders>
              <w:bottom w:val="single" w:color="auto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  <w:tr>
        <w:trPr/>
        <w:tc>
          <w:tcPr>
            <w:tcW w:w="11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</w:t>
            </w:r>
            <w:r/>
          </w:p>
        </w:tc>
        <w:tc>
          <w:tcPr>
            <w:tcBorders>
              <w:bottom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/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(дата)                                                   (кем </w:t>
      </w:r>
      <w:r>
        <w:rPr>
          <w:rFonts w:ascii="Times New Roman" w:hAnsi="Times New Roman"/>
          <w:vertAlign w:val="superscript"/>
          <w:lang w:eastAsia="ru-RU"/>
        </w:rPr>
        <w:t xml:space="preserve">выдан</w:t>
      </w:r>
      <w:r>
        <w:rPr>
          <w:rFonts w:ascii="Times New Roman" w:hAnsi="Times New Roman"/>
          <w:vertAlign w:val="superscript"/>
          <w:lang w:eastAsia="ru-RU"/>
        </w:rPr>
        <w:t xml:space="preserve">)</w:t>
      </w:r>
      <w:r/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464"/>
      </w:tblGrid>
      <w:tr>
        <w:trPr>
          <w:trHeight w:val="100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pacing w:val="-9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законом от 27.07.2006 № 152-ФЗ «О персональных данных», </w:t>
      </w:r>
      <w:r>
        <w:rPr>
          <w:rFonts w:ascii="Times New Roman" w:hAnsi="Times New Roman"/>
          <w:spacing w:val="-9"/>
          <w:lang w:eastAsia="ru-RU"/>
        </w:rPr>
        <w:t xml:space="preserve">даю согласие оператору персональных данных </w:t>
      </w:r>
      <w:r>
        <w:rPr>
          <w:rFonts w:ascii="Times New Roman" w:hAnsi="Times New Roman"/>
          <w:lang w:eastAsia="ru-RU"/>
        </w:rPr>
        <w:t xml:space="preserve">Тульскому областному гарантийному фонду (ИНН 7104520110</w:t>
      </w:r>
      <w:r>
        <w:rPr>
          <w:rFonts w:ascii="Times New Roman" w:hAnsi="Times New Roman"/>
          <w:lang w:eastAsia="ru-RU"/>
        </w:rPr>
        <w:t xml:space="preserve">,</w:t>
      </w:r>
      <w:r>
        <w:rPr>
          <w:rFonts w:ascii="Times New Roman" w:hAnsi="Times New Roman"/>
          <w:i/>
          <w:lang w:eastAsia="ru-RU"/>
        </w:rPr>
        <w:t xml:space="preserve"> _______(адрес)</w:t>
      </w:r>
      <w:r>
        <w:rPr>
          <w:rFonts w:ascii="Times New Roman" w:hAnsi="Times New Roman"/>
          <w:lang w:eastAsia="ru-RU"/>
        </w:rPr>
        <w:t xml:space="preserve">) (далее - «Фонд»),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на обработку следующих моих персональных данных: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фамилия, имя, отчество,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пол, возраст, место рождения, место регистрации   с целью оказания поддержки обратившегося в Фонд с заявкой субъекта малого и среднего предпринимательства, (заключения с Фондом договоров поручительства, соглашений</w:t>
      </w:r>
      <w:r>
        <w:rPr>
          <w:rFonts w:ascii="Times New Roman" w:hAnsi="Times New Roman"/>
          <w:lang w:eastAsia="ru-RU"/>
        </w:rPr>
        <w:t xml:space="preserve">, договоров о предоставлении поручительства</w:t>
      </w:r>
      <w:r>
        <w:rPr>
          <w:rFonts w:ascii="Times New Roman" w:hAnsi="Times New Roman"/>
          <w:lang w:eastAsia="ru-RU"/>
        </w:rPr>
        <w:t xml:space="preserve">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услугах).</w:t>
      </w:r>
      <w:r/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</w:r>
      <w:r/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spacing w:val="-4"/>
          <w:lang w:eastAsia="ru-RU"/>
        </w:rPr>
      </w:pP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Перечень действий, осуществляемых с персональными данными: </w:t>
      </w:r>
      <w:r>
        <w:rPr>
          <w:rFonts w:ascii="Times New Roman" w:hAnsi="Times New Roman"/>
          <w:spacing w:val="-4"/>
          <w:lang w:eastAsia="ru-RU"/>
        </w:rPr>
        <w:t xml:space="preserve">сбор; запись; систематизация; накопление; хранение; уточнение (обновление, изменение); </w:t>
      </w:r>
      <w:r>
        <w:rPr>
          <w:rFonts w:ascii="Times New Roman" w:hAnsi="Times New Roman"/>
          <w:spacing w:val="-4"/>
          <w:lang w:eastAsia="ru-RU"/>
        </w:rPr>
        <w:t xml:space="preserve">передача</w:t>
      </w:r>
      <w:r>
        <w:rPr>
          <w:rFonts w:ascii="Times New Roman" w:hAnsi="Times New Roman"/>
          <w:spacing w:val="-4"/>
          <w:lang w:eastAsia="ru-RU"/>
        </w:rPr>
        <w:t xml:space="preserve">; </w:t>
      </w:r>
      <w:r>
        <w:rPr>
          <w:rFonts w:ascii="Times New Roman" w:hAnsi="Times New Roman"/>
          <w:spacing w:val="-4"/>
          <w:lang w:eastAsia="ru-RU"/>
        </w:rPr>
        <w:t xml:space="preserve">извлечение; использование; блокирование; удаление; уничтожение.</w:t>
      </w:r>
      <w:r/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</w:r>
      <w:r/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Данное согласие на обработку персональных данных считается действительным в течение </w:t>
      </w:r>
      <w:r>
        <w:rPr>
          <w:rFonts w:ascii="Times New Roman" w:hAnsi="Times New Roman"/>
          <w:lang w:eastAsia="ru-RU"/>
        </w:rPr>
        <w:t xml:space="preserve">ста</w:t>
      </w:r>
      <w:r>
        <w:rPr>
          <w:rFonts w:ascii="Times New Roman" w:hAnsi="Times New Roman"/>
          <w:lang w:eastAsia="ru-RU"/>
        </w:rPr>
        <w:t xml:space="preserve"> дней со дня его предоставления. В случае если в течение указанного срока с </w:t>
      </w:r>
      <w:r>
        <w:rPr>
          <w:rFonts w:ascii="Times New Roman" w:hAnsi="Times New Roman"/>
          <w:lang w:eastAsia="ru-RU"/>
        </w:rPr>
        <w:t xml:space="preserve">субъект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 малого и среднего предпринимательства</w:t>
      </w:r>
      <w:r>
        <w:rPr>
          <w:rFonts w:ascii="Times New Roman" w:hAnsi="Times New Roman"/>
          <w:lang w:eastAsia="ru-RU"/>
        </w:rPr>
        <w:t xml:space="preserve"> Фондом </w:t>
      </w:r>
      <w:r>
        <w:rPr>
          <w:rFonts w:ascii="Times New Roman" w:hAnsi="Times New Roman"/>
          <w:lang w:eastAsia="ru-RU"/>
        </w:rPr>
        <w:t xml:space="preserve">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 xml:space="preserve">      </w:t>
      </w:r>
      <w:r>
        <w:rPr>
          <w:rFonts w:ascii="Times New Roman" w:hAnsi="Times New Roman"/>
          <w:iCs/>
          <w:lang w:eastAsia="ru-RU"/>
        </w:rPr>
        <w:t xml:space="preserve">Настоящим подтверждаю,  что ознакомлен (а)  и согласен (а) с Регламентом предоставления </w:t>
      </w:r>
      <w:r>
        <w:rPr>
          <w:rFonts w:ascii="Times New Roman" w:hAnsi="Times New Roman"/>
          <w:iCs/>
          <w:lang w:eastAsia="ru-RU"/>
        </w:rPr>
        <w:t xml:space="preserve">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</w:t>
      </w:r>
      <w:r>
        <w:rPr>
          <w:rFonts w:ascii="Times New Roman" w:hAnsi="Times New Roman"/>
          <w:iCs/>
          <w:lang w:eastAsia="ru-RU"/>
        </w:rPr>
        <w:t xml:space="preserve">договорам, Регламентом предоставления поручительств Тульским областным гарантийным фондом по  кредитным договорам, договорам о предоставлении банковской гарантии с использованием механизма гарантийной поддержки без повторного </w:t>
      </w:r>
      <w:r>
        <w:rPr>
          <w:rFonts w:ascii="Times New Roman" w:hAnsi="Times New Roman"/>
          <w:iCs/>
          <w:lang w:eastAsia="ru-RU"/>
        </w:rPr>
        <w:t xml:space="preserve">андеррайтинга</w:t>
      </w:r>
      <w:r>
        <w:rPr>
          <w:rFonts w:ascii="Times New Roman" w:hAnsi="Times New Roman"/>
          <w:iCs/>
          <w:lang w:eastAsia="ru-RU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</w:r>
      <w:r/>
    </w:p>
    <w:p>
      <w:p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____________ _____ </w:t>
      </w:r>
      <w:r>
        <w:rPr>
          <w:rFonts w:ascii="Times New Roman" w:hAnsi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/>
          <w:sz w:val="24"/>
          <w:szCs w:val="24"/>
          <w:lang w:eastAsia="ru-RU"/>
        </w:rPr>
        <w:t xml:space="preserve">.   _____________   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(подпись)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(расшифровка подписи)</w:t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 xml:space="preserve">кредитным договорам, договорам о предоставлении банковской гарантии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/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tbl>
      <w:tblPr>
        <w:tblStyle w:val="67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2551"/>
      </w:tblGrid>
      <w:tr>
        <w:trPr/>
        <w:tc>
          <w:tcPr>
            <w:gridSpan w:val="3"/>
            <w:tcW w:w="1006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Проверка соответствия условиям предоставления Поручительства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Фонда</w:t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 использованием механизма гарантийной поддержки</w:t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без повторного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андеррайтинга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____________________________________________________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_____________</w:t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Заемщика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Условие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(+)/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 соответствует (-)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</w:t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Особые отметки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отвечает условиям отнесения к субъектам МСП, установленным статьей 4 Федерального закона № 209-ФЗ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зарегистрирован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осуществляет деятельность на территории Тульской области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состоянию на любую дату в течение пер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иода, равного 30 календарным дням, предшествующего дате заключения договора Поручительства,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тыс. рублей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(справка действует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дату подачи заявки на предоставление Поручительства отсутствует задолженность перед работниками (персоналом) по заработной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плате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более трех месяцев (данный критерий не применяется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самозанятым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гражданам)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являетс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  договорами Российской Федерации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Заемщик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(или) его участники (акционеры) и (или) взаимосвязан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(аффилированные) лица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ранее в отношении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Заемщика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было принято решение об оказании аналогичной поддержки (поддержки, условия оказания, которой совпадают, включая форму, вид поддержки и цели ее оказания), и сроки ее оказания не истекли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с даты признания субъекта МСП совершившим нарушение порядка и условий оказания поддержки прошло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не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менее одного года, за исключением случая более раннего устранения субъектом малого или среднего предпринимательства т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или представлением недостоверных сведений и документов,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с даты признания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субъекта малого или среднего предпринимательства совершившим такое нарушение прошло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менее трех лет. Положения, предусмотренные настоящим пунктом, распространяются на виды поддержки, в отношении которых органом или организацией,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оказавшими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 поддержку, выявлены нарушения субъектом малого или среднего предпринимательства порядка и условий оказания поддержки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наблюдается невыполнение условий оказания поддержки в соответствии с Федеральным законом № 209-ФЗ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отношении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Заемщика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приме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находится в стадии ликвидации, реорганизации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осуществляет предпринимательскую деятельность в сфере игорного бизнеса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плексный анализ деловой репутации субъекта МСП, его 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субъекта МСП по Обеспечиваемому обязательству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Заявка на получение Поручительства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Фонда соответствует всем условиям её оказания в рамках Механизма, оговоренным в разделе 2. Регламента предоставления поручительств Фондом по кредитным договорам, договорам предоставления банковской гарантии с использованием механизма гарантийной поддержки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повторного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андеррайтинга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Банком-партнером представлен пакет документов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необходимый и определенный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Регламентом предоставления поручительств Фондом по кредитным договорам, договорам предоставления банковской гарантии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использованием механизма гарантийной поддержки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повторного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андеррайтинга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Кредитный продукт: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Подсегмент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Заемщика: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Рейтинг Заемщика в Банке с указанием модели, по которой он рассчитан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/>
          </w:p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его утверждения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кредита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21.</w:t>
            </w:r>
            <w:r/>
          </w:p>
        </w:tc>
        <w:tc>
          <w:tcPr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является иностранным агентом</w:t>
            </w:r>
            <w:r/>
          </w:p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</w:tbl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/>
    </w:p>
    <w:p>
      <w:pPr>
        <w:spacing w:after="0" w:line="240" w:lineRule="exac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  <w:r/>
    </w:p>
    <w:p>
      <w:pPr>
        <w:spacing w:after="0" w:line="240" w:lineRule="exac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Директор</w:t>
      </w:r>
      <w:r/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(расшифровка)</w:t>
      </w:r>
      <w:r/>
    </w:p>
    <w:p>
      <w:pPr>
        <w:spacing w:after="0" w:line="240" w:lineRule="exact"/>
        <w:tabs>
          <w:tab w:val="left" w:pos="5669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  <w:r/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 отдела предоставления гарантий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 __________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(расшифровка)</w:t>
      </w:r>
      <w:r/>
    </w:p>
    <w:p>
      <w:pPr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/>
    </w:p>
    <w:p>
      <w:pPr>
        <w:spacing w:after="0" w:line="240" w:lineRule="exac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отдела по правовой работе</w:t>
      </w:r>
      <w:r/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(подпись) 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(расшифровка)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3958"/>
        <w:spacing w:after="0" w:line="240" w:lineRule="exact"/>
        <w:tabs>
          <w:tab w:val="left" w:pos="7851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Дата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92"/>
      </w:pPr>
      <w:r>
        <w:rPr>
          <w:rStyle w:val="695"/>
        </w:rPr>
        <w:footnoteRef/>
      </w:r>
      <w:r>
        <w:t xml:space="preserve"> </w:t>
      </w:r>
      <w:r>
        <w:t xml:space="preserve">В расчете учитываются вступившие и не вступившие в силу решения судов,  заявленные иски к Клиенту, </w:t>
      </w:r>
      <w:r>
        <w:t xml:space="preserve">а также </w:t>
      </w:r>
      <w:r>
        <w:t xml:space="preserve">текущие исполнительные производства </w:t>
      </w:r>
      <w:r>
        <w:t xml:space="preserve">за</w:t>
      </w:r>
      <w:r>
        <w:t xml:space="preserve"> последние 12 месяцев. 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92" w:hanging="450"/>
        <w:tabs>
          <w:tab w:val="num" w:pos="592" w:leader="none"/>
        </w:tabs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isLgl w:val="false"/>
      <w:suff w:val="nothing"/>
      <w:lvlText w:val="%1.%2."/>
      <w:lvlJc w:val="left"/>
      <w:pPr>
        <w:ind w:left="0" w:firstLine="851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1"/>
    <w:link w:val="67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9"/>
    <w:next w:val="669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9"/>
    <w:next w:val="669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69"/>
    <w:next w:val="669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1"/>
    <w:link w:val="32"/>
    <w:uiPriority w:val="10"/>
    <w:rPr>
      <w:sz w:val="48"/>
      <w:szCs w:val="48"/>
    </w:rPr>
  </w:style>
  <w:style w:type="paragraph" w:styleId="34">
    <w:name w:val="Subtitle"/>
    <w:basedOn w:val="669"/>
    <w:next w:val="669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1"/>
    <w:link w:val="34"/>
    <w:uiPriority w:val="11"/>
    <w:rPr>
      <w:sz w:val="24"/>
      <w:szCs w:val="24"/>
    </w:rPr>
  </w:style>
  <w:style w:type="paragraph" w:styleId="36">
    <w:name w:val="Quote"/>
    <w:basedOn w:val="669"/>
    <w:next w:val="669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9"/>
    <w:next w:val="669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1"/>
    <w:link w:val="688"/>
    <w:uiPriority w:val="99"/>
  </w:style>
  <w:style w:type="character" w:styleId="43">
    <w:name w:val="Footer Char"/>
    <w:basedOn w:val="671"/>
    <w:link w:val="690"/>
    <w:uiPriority w:val="99"/>
  </w:style>
  <w:style w:type="paragraph" w:styleId="44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0"/>
    <w:uiPriority w:val="99"/>
  </w:style>
  <w:style w:type="table" w:styleId="47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692"/>
    <w:uiPriority w:val="99"/>
    <w:rPr>
      <w:sz w:val="18"/>
    </w:rPr>
  </w:style>
  <w:style w:type="paragraph" w:styleId="176">
    <w:name w:val="endnote text"/>
    <w:basedOn w:val="66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1"/>
    <w:uiPriority w:val="99"/>
    <w:semiHidden/>
    <w:unhideWhenUsed/>
    <w:rPr>
      <w:vertAlign w:val="superscript"/>
    </w:rPr>
  </w:style>
  <w:style w:type="paragraph" w:styleId="179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rPr>
      <w:rFonts w:ascii="Calibri" w:hAnsi="Calibri" w:cs="Times New Roman" w:eastAsia="Calibri"/>
    </w:rPr>
  </w:style>
  <w:style w:type="paragraph" w:styleId="670">
    <w:name w:val="Heading 1"/>
    <w:basedOn w:val="669"/>
    <w:next w:val="669"/>
    <w:link w:val="69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No Spacing"/>
    <w:uiPriority w:val="1"/>
    <w:qFormat/>
    <w:pPr>
      <w:spacing w:after="0" w:line="240" w:lineRule="auto"/>
    </w:pPr>
    <w:rPr>
      <w:rFonts w:ascii="Calibri" w:hAnsi="Calibri" w:cs="Times New Roman" w:eastAsia="Calibri"/>
    </w:rPr>
  </w:style>
  <w:style w:type="paragraph" w:styleId="675">
    <w:name w:val="List Paragraph"/>
    <w:basedOn w:val="669"/>
    <w:link w:val="676"/>
    <w:uiPriority w:val="34"/>
    <w:qFormat/>
    <w:pPr>
      <w:contextualSpacing/>
      <w:ind w:left="720"/>
    </w:pPr>
  </w:style>
  <w:style w:type="character" w:styleId="676" w:customStyle="1">
    <w:name w:val="Абзац списка Знак"/>
    <w:link w:val="675"/>
    <w:uiPriority w:val="34"/>
    <w:rPr>
      <w:rFonts w:ascii="Calibri" w:hAnsi="Calibri" w:cs="Times New Roman" w:eastAsia="Calibri"/>
    </w:rPr>
  </w:style>
  <w:style w:type="table" w:styleId="677">
    <w:name w:val="Table Grid"/>
    <w:basedOn w:val="672"/>
    <w:uiPriority w:val="59"/>
    <w:pPr>
      <w:spacing w:after="0" w:line="240" w:lineRule="auto"/>
    </w:pPr>
    <w:rPr>
      <w:rFonts w:ascii="Calibri" w:hAnsi="Calibri" w:cs="Times New Roman" w:eastAsia="Calibri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8">
    <w:name w:val="annotation reference"/>
    <w:basedOn w:val="671"/>
    <w:uiPriority w:val="99"/>
    <w:semiHidden/>
    <w:unhideWhenUsed/>
    <w:rPr>
      <w:sz w:val="16"/>
      <w:szCs w:val="16"/>
    </w:rPr>
  </w:style>
  <w:style w:type="paragraph" w:styleId="679">
    <w:name w:val="annotation text"/>
    <w:basedOn w:val="669"/>
    <w:link w:val="680"/>
    <w:uiPriority w:val="99"/>
    <w:unhideWhenUsed/>
    <w:pPr>
      <w:spacing w:line="240" w:lineRule="auto"/>
    </w:pPr>
    <w:rPr>
      <w:sz w:val="20"/>
      <w:szCs w:val="20"/>
    </w:rPr>
  </w:style>
  <w:style w:type="character" w:styleId="680" w:customStyle="1">
    <w:name w:val="Текст примечания Знак"/>
    <w:basedOn w:val="671"/>
    <w:link w:val="679"/>
    <w:uiPriority w:val="99"/>
    <w:rPr>
      <w:rFonts w:ascii="Calibri" w:hAnsi="Calibri" w:cs="Times New Roman" w:eastAsia="Calibri"/>
      <w:sz w:val="20"/>
      <w:szCs w:val="20"/>
    </w:rPr>
  </w:style>
  <w:style w:type="paragraph" w:styleId="681">
    <w:name w:val="Balloon Text"/>
    <w:basedOn w:val="669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Текст выноски Знак"/>
    <w:basedOn w:val="671"/>
    <w:link w:val="681"/>
    <w:uiPriority w:val="99"/>
    <w:semiHidden/>
    <w:rPr>
      <w:rFonts w:ascii="Tahoma" w:hAnsi="Tahoma" w:cs="Tahoma" w:eastAsia="Calibri"/>
      <w:sz w:val="16"/>
      <w:szCs w:val="16"/>
    </w:rPr>
  </w:style>
  <w:style w:type="paragraph" w:styleId="68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84" w:customStyle="1">
    <w:name w:val="w"/>
    <w:basedOn w:val="671"/>
    <w:uiPriority w:val="99"/>
  </w:style>
  <w:style w:type="paragraph" w:styleId="685">
    <w:name w:val="annotation subject"/>
    <w:basedOn w:val="679"/>
    <w:next w:val="679"/>
    <w:link w:val="686"/>
    <w:uiPriority w:val="99"/>
    <w:semiHidden/>
    <w:unhideWhenUsed/>
    <w:rPr>
      <w:b/>
      <w:bCs/>
    </w:rPr>
  </w:style>
  <w:style w:type="character" w:styleId="686" w:customStyle="1">
    <w:name w:val="Тема примечания Знак"/>
    <w:basedOn w:val="680"/>
    <w:link w:val="685"/>
    <w:uiPriority w:val="99"/>
    <w:semiHidden/>
    <w:rPr>
      <w:rFonts w:ascii="Calibri" w:hAnsi="Calibri" w:cs="Times New Roman" w:eastAsia="Calibri"/>
      <w:b/>
      <w:bCs/>
      <w:sz w:val="20"/>
      <w:szCs w:val="20"/>
    </w:rPr>
  </w:style>
  <w:style w:type="paragraph" w:styleId="687" w:customStyle="1">
    <w:name w:val="ConsPlusNormal"/>
    <w:uiPriority w:val="99"/>
    <w:pPr>
      <w:spacing w:after="0" w:line="240" w:lineRule="auto"/>
      <w:widowControl w:val="off"/>
    </w:pPr>
    <w:rPr>
      <w:rFonts w:ascii="Times New Roman" w:hAnsi="Times New Roman" w:cs="Times New Roman" w:eastAsia="Calibri"/>
      <w:sz w:val="24"/>
      <w:szCs w:val="24"/>
      <w:lang w:eastAsia="ru-RU"/>
    </w:rPr>
  </w:style>
  <w:style w:type="paragraph" w:styleId="688">
    <w:name w:val="Header"/>
    <w:basedOn w:val="669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71"/>
    <w:link w:val="688"/>
    <w:uiPriority w:val="99"/>
    <w:rPr>
      <w:rFonts w:ascii="Calibri" w:hAnsi="Calibri" w:cs="Times New Roman" w:eastAsia="Calibri"/>
    </w:rPr>
  </w:style>
  <w:style w:type="paragraph" w:styleId="690">
    <w:name w:val="Footer"/>
    <w:basedOn w:val="669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71"/>
    <w:link w:val="690"/>
    <w:uiPriority w:val="99"/>
    <w:rPr>
      <w:rFonts w:ascii="Calibri" w:hAnsi="Calibri" w:cs="Times New Roman" w:eastAsia="Calibri"/>
    </w:rPr>
  </w:style>
  <w:style w:type="paragraph" w:styleId="692">
    <w:name w:val="footnote text"/>
    <w:basedOn w:val="669"/>
    <w:link w:val="694"/>
    <w:qFormat/>
    <w:pPr>
      <w:spacing w:after="0" w:line="240" w:lineRule="auto"/>
    </w:pPr>
    <w:rPr>
      <w:rFonts w:ascii="Times New Roman" w:hAnsi="Times New Roman" w:eastAsiaTheme="minorHAnsi"/>
      <w:sz w:val="20"/>
      <w:szCs w:val="20"/>
      <w:lang w:eastAsia="ru-RU"/>
    </w:rPr>
  </w:style>
  <w:style w:type="character" w:styleId="693" w:customStyle="1">
    <w:name w:val="Текст сноски Знак"/>
    <w:basedOn w:val="671"/>
    <w:uiPriority w:val="99"/>
    <w:semiHidden/>
    <w:rPr>
      <w:rFonts w:ascii="Calibri" w:hAnsi="Calibri" w:cs="Times New Roman" w:eastAsia="Calibri"/>
      <w:sz w:val="20"/>
      <w:szCs w:val="20"/>
    </w:rPr>
  </w:style>
  <w:style w:type="character" w:styleId="694" w:customStyle="1">
    <w:name w:val="Текст сноски Знак1"/>
    <w:link w:val="692"/>
    <w:rPr>
      <w:rFonts w:ascii="Times New Roman" w:hAnsi="Times New Roman" w:cs="Times New Roman"/>
      <w:sz w:val="20"/>
      <w:szCs w:val="20"/>
      <w:lang w:eastAsia="ru-RU"/>
    </w:rPr>
  </w:style>
  <w:style w:type="character" w:styleId="695">
    <w:name w:val="footnote reference"/>
    <w:rPr>
      <w:vertAlign w:val="superscript"/>
    </w:rPr>
  </w:style>
  <w:style w:type="character" w:styleId="696" w:customStyle="1">
    <w:name w:val="Заголовок 1 Знак"/>
    <w:basedOn w:val="671"/>
    <w:link w:val="67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3BD4170F91E040F3F43B11677D5C91FE2C6D663696D1BA417B24FA145857BD2EAE1D3CB4AA6C203174F93932B4t0QB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8C6DF92-71C2-426D-8952-CE5C870C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Кузнецова</dc:creator>
  <cp:lastModifiedBy>Элина Павлова</cp:lastModifiedBy>
  <cp:revision>6</cp:revision>
  <dcterms:created xsi:type="dcterms:W3CDTF">2023-01-10T14:44:00Z</dcterms:created>
  <dcterms:modified xsi:type="dcterms:W3CDTF">2023-01-16T09:51:22Z</dcterms:modified>
</cp:coreProperties>
</file>